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right"/>
        <w:rPr>
          <w:rFonts w:hint="eastAsia" w:ascii="仿宋" w:hAnsi="仿宋" w:eastAsia="仿宋" w:cs="仿宋"/>
          <w:color w:val="000000" w:themeColor="text1"/>
          <w:sz w:val="30"/>
          <w:szCs w:val="30"/>
          <w:highlight w:val="none"/>
          <w14:textFill>
            <w14:solidFill>
              <w14:schemeClr w14:val="tx1"/>
            </w14:solidFill>
          </w14:textFill>
        </w:rPr>
      </w:pPr>
    </w:p>
    <w:p>
      <w:pPr>
        <w:jc w:val="right"/>
        <w:rPr>
          <w:rFonts w:hint="default" w:ascii="仿宋" w:hAnsi="仿宋" w:eastAsia="仿宋" w:cs="仿宋"/>
          <w:color w:val="000000" w:themeColor="text1"/>
          <w:sz w:val="30"/>
          <w:szCs w:val="30"/>
          <w:highlight w:val="none"/>
          <w:lang w:val="en-US" w:eastAsia="zh-CN"/>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招标编号：</w:t>
      </w:r>
      <w:r>
        <w:rPr>
          <w:rFonts w:hint="eastAsia" w:ascii="仿宋" w:hAnsi="仿宋" w:eastAsia="仿宋" w:cs="仿宋"/>
          <w:color w:val="000000" w:themeColor="text1"/>
          <w:sz w:val="30"/>
          <w:szCs w:val="30"/>
          <w:highlight w:val="none"/>
          <w:lang w:val="en-US" w:eastAsia="zh-CN"/>
          <w14:textFill>
            <w14:solidFill>
              <w14:schemeClr w14:val="tx1"/>
            </w14:solidFill>
          </w14:textFill>
        </w:rPr>
        <w:t>2026-025</w:t>
      </w:r>
    </w:p>
    <w:p>
      <w:pPr>
        <w:pStyle w:val="5"/>
        <w:outlineLvl w:val="9"/>
        <w:rPr>
          <w:rFonts w:hint="eastAsia" w:ascii="仿宋" w:hAnsi="仿宋" w:eastAsia="仿宋" w:cs="仿宋"/>
          <w:color w:val="000000" w:themeColor="text1"/>
          <w:sz w:val="24"/>
          <w:szCs w:val="18"/>
          <w:highlight w:val="none"/>
          <w14:textFill>
            <w14:solidFill>
              <w14:schemeClr w14:val="tx1"/>
            </w14:solidFill>
          </w14:textFill>
        </w:rPr>
      </w:pPr>
    </w:p>
    <w:p>
      <w:pPr>
        <w:pStyle w:val="6"/>
        <w:rPr>
          <w:rFonts w:hint="eastAsia" w:ascii="仿宋" w:hAnsi="仿宋" w:eastAsia="仿宋" w:cs="仿宋"/>
          <w:color w:val="000000" w:themeColor="text1"/>
          <w:sz w:val="24"/>
          <w:szCs w:val="18"/>
          <w:highlight w:val="none"/>
          <w14:textFill>
            <w14:solidFill>
              <w14:schemeClr w14:val="tx1"/>
            </w14:solidFill>
          </w14:textFill>
        </w:rPr>
      </w:pPr>
    </w:p>
    <w:p>
      <w:pPr>
        <w:pStyle w:val="5"/>
        <w:rPr>
          <w:rFonts w:hint="eastAsia"/>
          <w:color w:val="000000" w:themeColor="text1"/>
          <w:highlight w:val="none"/>
          <w14:textFill>
            <w14:solidFill>
              <w14:schemeClr w14:val="tx1"/>
            </w14:solidFill>
          </w14:textFill>
        </w:rPr>
      </w:pPr>
    </w:p>
    <w:p>
      <w:pPr>
        <w:spacing w:line="560" w:lineRule="exact"/>
        <w:jc w:val="center"/>
        <w:rPr>
          <w:rFonts w:hint="eastAsia" w:ascii="仿宋" w:hAnsi="仿宋" w:eastAsia="仿宋" w:cs="仿宋"/>
          <w:b/>
          <w:bCs/>
          <w:color w:val="000000" w:themeColor="text1"/>
          <w:sz w:val="36"/>
          <w:szCs w:val="36"/>
          <w:highlight w:val="none"/>
          <w:lang w:eastAsia="zh-CN"/>
          <w14:textFill>
            <w14:solidFill>
              <w14:schemeClr w14:val="tx1"/>
            </w14:solidFill>
          </w14:textFill>
        </w:rPr>
      </w:pPr>
      <w:r>
        <w:rPr>
          <w:rFonts w:hint="eastAsia" w:ascii="仿宋" w:hAnsi="仿宋" w:eastAsia="仿宋" w:cs="仿宋"/>
          <w:b/>
          <w:bCs/>
          <w:color w:val="000000" w:themeColor="text1"/>
          <w:sz w:val="36"/>
          <w:szCs w:val="36"/>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p>
    <w:p>
      <w:pPr>
        <w:pStyle w:val="6"/>
        <w:rPr>
          <w:rFonts w:hint="eastAsia" w:ascii="仿宋" w:hAnsi="仿宋" w:eastAsia="仿宋" w:cs="仿宋"/>
          <w:b/>
          <w:color w:val="000000" w:themeColor="text1"/>
          <w:sz w:val="36"/>
          <w:szCs w:val="36"/>
          <w:highlight w:val="none"/>
          <w14:textFill>
            <w14:solidFill>
              <w14:schemeClr w14:val="tx1"/>
            </w14:solidFill>
          </w14:textFill>
        </w:rPr>
      </w:pPr>
    </w:p>
    <w:p>
      <w:pPr>
        <w:pStyle w:val="6"/>
        <w:rPr>
          <w:rFonts w:hint="eastAsia" w:ascii="仿宋" w:hAnsi="仿宋" w:eastAsia="仿宋" w:cs="仿宋"/>
          <w:b/>
          <w:color w:val="000000" w:themeColor="text1"/>
          <w:sz w:val="24"/>
          <w:highlight w:val="none"/>
          <w14:textFill>
            <w14:solidFill>
              <w14:schemeClr w14:val="tx1"/>
            </w14:solidFill>
          </w14:textFill>
        </w:rPr>
      </w:pPr>
    </w:p>
    <w:p>
      <w:pPr>
        <w:pStyle w:val="10"/>
        <w:rPr>
          <w:rFonts w:hint="eastAsia" w:ascii="仿宋" w:hAnsi="仿宋" w:eastAsia="仿宋" w:cs="仿宋"/>
          <w:color w:val="000000" w:themeColor="text1"/>
          <w:highlight w:val="none"/>
          <w14:textFill>
            <w14:solidFill>
              <w14:schemeClr w14:val="tx1"/>
            </w14:solidFill>
          </w14:textFill>
        </w:rPr>
      </w:pPr>
    </w:p>
    <w:p>
      <w:pPr>
        <w:jc w:val="center"/>
        <w:rPr>
          <w:rFonts w:hint="eastAsia" w:ascii="仿宋" w:hAnsi="仿宋" w:eastAsia="仿宋" w:cs="仿宋"/>
          <w:b/>
          <w:color w:val="000000" w:themeColor="text1"/>
          <w:spacing w:val="20"/>
          <w:sz w:val="72"/>
          <w:szCs w:val="72"/>
          <w:highlight w:val="none"/>
          <w14:textFill>
            <w14:solidFill>
              <w14:schemeClr w14:val="tx1"/>
            </w14:solidFill>
          </w14:textFill>
        </w:rPr>
      </w:pPr>
      <w:r>
        <w:rPr>
          <w:rFonts w:hint="eastAsia" w:ascii="仿宋" w:hAnsi="仿宋" w:eastAsia="仿宋" w:cs="仿宋"/>
          <w:b/>
          <w:color w:val="000000" w:themeColor="text1"/>
          <w:spacing w:val="20"/>
          <w:sz w:val="72"/>
          <w:szCs w:val="72"/>
          <w:highlight w:val="none"/>
          <w14:textFill>
            <w14:solidFill>
              <w14:schemeClr w14:val="tx1"/>
            </w14:solidFill>
          </w14:textFill>
        </w:rPr>
        <w:t>招标文件</w:t>
      </w:r>
    </w:p>
    <w:p>
      <w:pPr>
        <w:spacing w:line="360" w:lineRule="auto"/>
        <w:rPr>
          <w:rFonts w:hint="eastAsia" w:ascii="仿宋" w:hAnsi="仿宋" w:eastAsia="仿宋" w:cs="仿宋"/>
          <w:b/>
          <w:bCs/>
          <w:color w:val="000000" w:themeColor="text1"/>
          <w:sz w:val="32"/>
          <w:szCs w:val="32"/>
          <w:highlight w:val="none"/>
          <w14:textFill>
            <w14:solidFill>
              <w14:schemeClr w14:val="tx1"/>
            </w14:solidFill>
          </w14:textFill>
        </w:rPr>
      </w:pPr>
    </w:p>
    <w:p>
      <w:pPr>
        <w:jc w:val="center"/>
        <w:rPr>
          <w:rFonts w:hint="eastAsia" w:ascii="仿宋" w:hAnsi="仿宋" w:eastAsia="仿宋" w:cs="仿宋"/>
          <w:b/>
          <w:color w:val="000000" w:themeColor="text1"/>
          <w:sz w:val="28"/>
          <w:szCs w:val="28"/>
          <w:highlight w:val="none"/>
          <w14:textFill>
            <w14:solidFill>
              <w14:schemeClr w14:val="tx1"/>
            </w14:solidFill>
          </w14:textFill>
        </w:rPr>
      </w:pPr>
    </w:p>
    <w:p>
      <w:pPr>
        <w:pStyle w:val="6"/>
        <w:rPr>
          <w:rFonts w:hint="eastAsia" w:ascii="仿宋" w:hAnsi="仿宋" w:eastAsia="仿宋" w:cs="仿宋"/>
          <w:color w:val="000000" w:themeColor="text1"/>
          <w:highlight w:val="none"/>
          <w14:textFill>
            <w14:solidFill>
              <w14:schemeClr w14:val="tx1"/>
            </w14:solidFill>
          </w14:textFill>
        </w:rPr>
      </w:pPr>
    </w:p>
    <w:p>
      <w:pPr>
        <w:jc w:val="center"/>
        <w:rPr>
          <w:rFonts w:hint="eastAsia" w:ascii="仿宋" w:hAnsi="仿宋" w:eastAsia="仿宋" w:cs="仿宋"/>
          <w:b/>
          <w:color w:val="000000" w:themeColor="text1"/>
          <w:sz w:val="28"/>
          <w:szCs w:val="28"/>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spacing w:line="560" w:lineRule="exact"/>
        <w:jc w:val="center"/>
        <w:rPr>
          <w:rFonts w:hint="eastAsia" w:ascii="仿宋" w:hAnsi="仿宋" w:eastAsia="仿宋" w:cs="仿宋"/>
          <w:b/>
          <w:bCs/>
          <w:color w:val="000000" w:themeColor="text1"/>
          <w:sz w:val="32"/>
          <w:szCs w:val="32"/>
          <w:highlight w:val="none"/>
          <w:lang w:eastAsia="zh-CN"/>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招标人：</w:t>
      </w:r>
      <w:r>
        <w:rPr>
          <w:rFonts w:hint="eastAsia" w:ascii="仿宋" w:hAnsi="仿宋" w:eastAsia="仿宋" w:cs="仿宋"/>
          <w:b/>
          <w:bCs/>
          <w:color w:val="000000" w:themeColor="text1"/>
          <w:sz w:val="32"/>
          <w:szCs w:val="32"/>
          <w:highlight w:val="none"/>
          <w:lang w:eastAsia="zh-CN"/>
          <w14:textFill>
            <w14:solidFill>
              <w14:schemeClr w14:val="tx1"/>
            </w14:solidFill>
          </w14:textFill>
        </w:rPr>
        <w:t>威海热电集团有限公司</w:t>
      </w:r>
    </w:p>
    <w:p>
      <w:pPr>
        <w:spacing w:line="560" w:lineRule="exact"/>
        <w:jc w:val="center"/>
        <w:outlineLvl w:val="9"/>
        <w:rPr>
          <w:rFonts w:hint="eastAsia" w:ascii="仿宋" w:hAnsi="仿宋" w:eastAsia="仿宋" w:cs="仿宋"/>
          <w:b/>
          <w:bCs/>
          <w:color w:val="000000" w:themeColor="text1"/>
          <w:sz w:val="32"/>
          <w:szCs w:val="32"/>
          <w:highlight w:val="none"/>
          <w:lang w:eastAsia="zh-CN"/>
          <w14:textFill>
            <w14:solidFill>
              <w14:schemeClr w14:val="tx1"/>
            </w14:solidFill>
          </w14:textFill>
        </w:rPr>
      </w:pPr>
      <w:bookmarkStart w:id="0" w:name="_Toc26612"/>
      <w:bookmarkStart w:id="1" w:name="_Toc29263"/>
      <w:bookmarkStart w:id="2" w:name="_Toc7080"/>
      <w:r>
        <w:rPr>
          <w:rFonts w:hint="eastAsia" w:ascii="仿宋" w:hAnsi="仿宋" w:eastAsia="仿宋" w:cs="仿宋"/>
          <w:b/>
          <w:bCs/>
          <w:color w:val="000000" w:themeColor="text1"/>
          <w:sz w:val="32"/>
          <w:szCs w:val="32"/>
          <w:highlight w:val="none"/>
          <w14:textFill>
            <w14:solidFill>
              <w14:schemeClr w14:val="tx1"/>
            </w14:solidFill>
          </w14:textFill>
        </w:rPr>
        <w:t>招标代理：</w:t>
      </w:r>
      <w:r>
        <w:rPr>
          <w:rFonts w:hint="eastAsia" w:ascii="仿宋" w:hAnsi="仿宋" w:eastAsia="仿宋" w:cs="仿宋"/>
          <w:b/>
          <w:bCs/>
          <w:color w:val="000000" w:themeColor="text1"/>
          <w:sz w:val="32"/>
          <w:szCs w:val="32"/>
          <w:highlight w:val="none"/>
          <w:lang w:eastAsia="zh-CN"/>
          <w14:textFill>
            <w14:solidFill>
              <w14:schemeClr w14:val="tx1"/>
            </w14:solidFill>
          </w14:textFill>
        </w:rPr>
        <w:t>威海正华工程咨询有限公司</w:t>
      </w:r>
      <w:bookmarkEnd w:id="0"/>
      <w:bookmarkEnd w:id="1"/>
      <w:bookmarkEnd w:id="2"/>
    </w:p>
    <w:p>
      <w:pPr>
        <w:spacing w:line="560" w:lineRule="exact"/>
        <w:jc w:val="center"/>
        <w:outlineLvl w:val="9"/>
        <w:rPr>
          <w:rFonts w:hint="eastAsia" w:ascii="仿宋" w:hAnsi="仿宋" w:eastAsia="仿宋" w:cs="仿宋"/>
          <w:b/>
          <w:bCs/>
          <w:color w:val="000000" w:themeColor="text1"/>
          <w:sz w:val="32"/>
          <w:szCs w:val="32"/>
          <w:highlight w:val="none"/>
          <w14:textFill>
            <w14:solidFill>
              <w14:schemeClr w14:val="tx1"/>
            </w14:solidFill>
          </w14:textFill>
        </w:rPr>
      </w:pPr>
      <w:bookmarkStart w:id="3" w:name="_Toc10617"/>
      <w:bookmarkStart w:id="4" w:name="_Toc3450"/>
      <w:bookmarkStart w:id="5" w:name="_Toc12435"/>
      <w:bookmarkStart w:id="6" w:name="_Toc26803"/>
      <w:bookmarkStart w:id="7" w:name="_Toc27134"/>
      <w:bookmarkStart w:id="8" w:name="_Toc29450"/>
      <w:r>
        <w:rPr>
          <w:rFonts w:hint="eastAsia" w:ascii="仿宋" w:hAnsi="仿宋" w:eastAsia="仿宋" w:cs="仿宋"/>
          <w:b/>
          <w:bCs/>
          <w:color w:val="000000" w:themeColor="text1"/>
          <w:sz w:val="32"/>
          <w:szCs w:val="32"/>
          <w:highlight w:val="none"/>
          <w14:textFill>
            <w14:solidFill>
              <w14:schemeClr w14:val="tx1"/>
            </w14:solidFill>
          </w14:textFill>
        </w:rPr>
        <w:t>日期：二〇二</w:t>
      </w: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六</w:t>
      </w:r>
      <w:r>
        <w:rPr>
          <w:rFonts w:hint="eastAsia" w:ascii="仿宋" w:hAnsi="仿宋" w:eastAsia="仿宋" w:cs="仿宋"/>
          <w:b/>
          <w:bCs/>
          <w:color w:val="000000" w:themeColor="text1"/>
          <w:sz w:val="32"/>
          <w:szCs w:val="32"/>
          <w:highlight w:val="none"/>
          <w14:textFill>
            <w14:solidFill>
              <w14:schemeClr w14:val="tx1"/>
            </w14:solidFill>
          </w14:textFill>
        </w:rPr>
        <w:t>年</w:t>
      </w: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五</w:t>
      </w:r>
      <w:r>
        <w:rPr>
          <w:rFonts w:hint="eastAsia" w:ascii="仿宋" w:hAnsi="仿宋" w:eastAsia="仿宋" w:cs="仿宋"/>
          <w:b/>
          <w:bCs/>
          <w:color w:val="000000" w:themeColor="text1"/>
          <w:sz w:val="32"/>
          <w:szCs w:val="32"/>
          <w:highlight w:val="none"/>
          <w14:textFill>
            <w14:solidFill>
              <w14:schemeClr w14:val="tx1"/>
            </w14:solidFill>
          </w14:textFill>
        </w:rPr>
        <w:t>月</w:t>
      </w:r>
      <w:bookmarkEnd w:id="3"/>
      <w:bookmarkEnd w:id="4"/>
      <w:bookmarkEnd w:id="5"/>
      <w:bookmarkEnd w:id="6"/>
      <w:bookmarkEnd w:id="7"/>
      <w:bookmarkEnd w:id="8"/>
    </w:p>
    <w:p>
      <w:pPr>
        <w:keepNext w:val="0"/>
        <w:keepLines w:val="0"/>
        <w:pageBreakBefore/>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color w:val="000000" w:themeColor="text1"/>
          <w:kern w:val="2"/>
          <w:sz w:val="21"/>
          <w:szCs w:val="30"/>
          <w:highlight w:val="none"/>
          <w:lang w:val="en-US" w:eastAsia="zh-CN" w:bidi="ar-SA"/>
          <w14:textFill>
            <w14:solidFill>
              <w14:schemeClr w14:val="tx1"/>
            </w14:solidFill>
          </w14:textFill>
        </w:rPr>
      </w:pPr>
      <w:r>
        <w:rPr>
          <w:rFonts w:hint="eastAsia" w:ascii="仿宋" w:hAnsi="仿宋" w:eastAsia="仿宋" w:cs="仿宋"/>
          <w:b/>
          <w:color w:val="000000" w:themeColor="text1"/>
          <w:sz w:val="44"/>
          <w:szCs w:val="44"/>
          <w:highlight w:val="none"/>
          <w14:textFill>
            <w14:solidFill>
              <w14:schemeClr w14:val="tx1"/>
            </w14:solidFill>
          </w14:textFill>
        </w:rPr>
        <w:t>目　录</w:t>
      </w:r>
      <w:r>
        <w:rPr>
          <w:rFonts w:hint="eastAsia" w:ascii="仿宋" w:hAnsi="仿宋" w:eastAsia="仿宋" w:cs="仿宋"/>
          <w:b/>
          <w:color w:val="000000" w:themeColor="text1"/>
          <w:sz w:val="44"/>
          <w:szCs w:val="44"/>
          <w:highlight w:val="none"/>
          <w14:textFill>
            <w14:solidFill>
              <w14:schemeClr w14:val="tx1"/>
            </w14:solidFill>
          </w14:textFill>
        </w:rPr>
        <w:cr/>
      </w:r>
      <w:r>
        <w:rPr>
          <w:rFonts w:hint="eastAsia" w:ascii="仿宋" w:hAnsi="仿宋" w:eastAsia="仿宋" w:cs="仿宋"/>
          <w:color w:val="000000" w:themeColor="text1"/>
          <w:sz w:val="30"/>
          <w:szCs w:val="30"/>
          <w:highlight w:val="none"/>
          <w14:textFill>
            <w14:solidFill>
              <w14:schemeClr w14:val="tx1"/>
            </w14:solidFill>
          </w14:textFill>
        </w:rPr>
        <w:fldChar w:fldCharType="begin"/>
      </w:r>
      <w:r>
        <w:rPr>
          <w:rFonts w:hint="eastAsia" w:ascii="仿宋" w:hAnsi="仿宋" w:eastAsia="仿宋" w:cs="仿宋"/>
          <w:color w:val="000000" w:themeColor="text1"/>
          <w:sz w:val="30"/>
          <w:szCs w:val="30"/>
          <w:highlight w:val="none"/>
          <w14:textFill>
            <w14:solidFill>
              <w14:schemeClr w14:val="tx1"/>
            </w14:solidFill>
          </w14:textFill>
        </w:rPr>
        <w:instrText xml:space="preserve">TOC \o "1-1" \h \u </w:instrText>
      </w:r>
      <w:r>
        <w:rPr>
          <w:rFonts w:hint="eastAsia" w:ascii="仿宋" w:hAnsi="仿宋" w:eastAsia="仿宋" w:cs="仿宋"/>
          <w:color w:val="000000" w:themeColor="text1"/>
          <w:sz w:val="30"/>
          <w:szCs w:val="30"/>
          <w:highlight w:val="none"/>
          <w14:textFill>
            <w14:solidFill>
              <w14:schemeClr w14:val="tx1"/>
            </w14:solidFill>
          </w14:textFill>
        </w:rPr>
        <w:fldChar w:fldCharType="separate"/>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_Toc31698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color w:val="000000" w:themeColor="text1"/>
          <w:sz w:val="32"/>
          <w:szCs w:val="40"/>
          <w:highlight w:val="none"/>
          <w14:textFill>
            <w14:solidFill>
              <w14:schemeClr w14:val="tx1"/>
            </w14:solidFill>
          </w14:textFill>
        </w:rPr>
        <w:t>第一部分 招标公告</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_Toc31698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1</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_Toc29380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bCs/>
          <w:color w:val="000000" w:themeColor="text1"/>
          <w:sz w:val="32"/>
          <w:szCs w:val="40"/>
          <w:highlight w:val="none"/>
          <w14:textFill>
            <w14:solidFill>
              <w14:schemeClr w14:val="tx1"/>
            </w14:solidFill>
          </w14:textFill>
        </w:rPr>
        <w:t>第二部分 投标人须知</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_Toc29380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5</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_Toc879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bCs/>
          <w:color w:val="000000" w:themeColor="text1"/>
          <w:sz w:val="32"/>
          <w:szCs w:val="40"/>
          <w:highlight w:val="none"/>
          <w14:textFill>
            <w14:solidFill>
              <w14:schemeClr w14:val="tx1"/>
            </w14:solidFill>
          </w14:textFill>
        </w:rPr>
        <w:t>第三部分 开标、评标、定标</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_Toc879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26</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_Toc7572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bCs/>
          <w:color w:val="000000" w:themeColor="text1"/>
          <w:sz w:val="32"/>
          <w:szCs w:val="40"/>
          <w:highlight w:val="none"/>
          <w14:textFill>
            <w14:solidFill>
              <w14:schemeClr w14:val="tx1"/>
            </w14:solidFill>
          </w14:textFill>
        </w:rPr>
        <w:t>第四部分 采购内容与要求</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_Toc7572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42</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_Toc9380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bCs/>
          <w:color w:val="000000" w:themeColor="text1"/>
          <w:sz w:val="32"/>
          <w:szCs w:val="40"/>
          <w:highlight w:val="none"/>
          <w14:textFill>
            <w14:solidFill>
              <w14:schemeClr w14:val="tx1"/>
            </w14:solidFill>
          </w14:textFill>
        </w:rPr>
        <w:t>第五部分 投标文件（格式）</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_Toc9380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43</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pStyle w:val="22"/>
        <w:keepNext w:val="0"/>
        <w:keepLines w:val="0"/>
        <w:pageBreakBefore w:val="0"/>
        <w:widowControl w:val="0"/>
        <w:tabs>
          <w:tab w:val="right" w:leader="dot" w:pos="8930"/>
          <w:tab w:val="clear" w:pos="9060"/>
        </w:tabs>
        <w:kinsoku/>
        <w:wordWrap/>
        <w:overflowPunct/>
        <w:topLinePunct w:val="0"/>
        <w:autoSpaceDE/>
        <w:autoSpaceDN/>
        <w:bidi w:val="0"/>
        <w:adjustRightInd/>
        <w:snapToGrid/>
        <w:spacing w:line="800" w:lineRule="exact"/>
        <w:ind w:firstLine="198"/>
        <w:textAlignment w:val="auto"/>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28"/>
          <w:highlight w:val="none"/>
          <w14:textFill>
            <w14:solidFill>
              <w14:schemeClr w14:val="tx1"/>
            </w14:solidFill>
          </w14:textFill>
        </w:rPr>
        <w:fldChar w:fldCharType="begin"/>
      </w:r>
      <w:r>
        <w:rPr>
          <w:rFonts w:hint="eastAsia" w:ascii="仿宋" w:hAnsi="仿宋" w:eastAsia="仿宋" w:cs="仿宋"/>
          <w:color w:val="000000" w:themeColor="text1"/>
          <w:sz w:val="32"/>
          <w:szCs w:val="28"/>
          <w:highlight w:val="none"/>
          <w14:textFill>
            <w14:solidFill>
              <w14:schemeClr w14:val="tx1"/>
            </w14:solidFill>
          </w14:textFill>
        </w:rPr>
        <w:instrText xml:space="preserve"> HYPERLINK \l _Toc32756 </w:instrText>
      </w:r>
      <w:r>
        <w:rPr>
          <w:rFonts w:hint="eastAsia" w:ascii="仿宋" w:hAnsi="仿宋" w:eastAsia="仿宋" w:cs="仿宋"/>
          <w:color w:val="000000" w:themeColor="text1"/>
          <w:sz w:val="32"/>
          <w:szCs w:val="28"/>
          <w:highlight w:val="none"/>
          <w14:textFill>
            <w14:solidFill>
              <w14:schemeClr w14:val="tx1"/>
            </w14:solidFill>
          </w14:textFill>
        </w:rPr>
        <w:fldChar w:fldCharType="separate"/>
      </w:r>
      <w:r>
        <w:rPr>
          <w:rFonts w:hint="eastAsia" w:ascii="仿宋" w:hAnsi="仿宋" w:eastAsia="仿宋" w:cs="仿宋"/>
          <w:bCs/>
          <w:color w:val="000000" w:themeColor="text1"/>
          <w:sz w:val="32"/>
          <w:szCs w:val="40"/>
          <w:highlight w:val="none"/>
          <w14:textFill>
            <w14:solidFill>
              <w14:schemeClr w14:val="tx1"/>
            </w14:solidFill>
          </w14:textFill>
        </w:rPr>
        <w:t>第六部分 合 同 书 （范本）</w:t>
      </w:r>
      <w:r>
        <w:rPr>
          <w:rFonts w:hint="eastAsia" w:ascii="仿宋" w:hAnsi="仿宋" w:eastAsia="仿宋" w:cs="仿宋"/>
          <w:color w:val="000000" w:themeColor="text1"/>
          <w:sz w:val="32"/>
          <w:szCs w:val="32"/>
          <w:highlight w:val="none"/>
          <w14:textFill>
            <w14:solidFill>
              <w14:schemeClr w14:val="tx1"/>
            </w14:solidFill>
          </w14:textFill>
        </w:rPr>
        <w:tab/>
      </w:r>
      <w:r>
        <w:rPr>
          <w:rFonts w:hint="eastAsia" w:ascii="仿宋" w:hAnsi="仿宋" w:eastAsia="仿宋" w:cs="仿宋"/>
          <w:color w:val="000000" w:themeColor="text1"/>
          <w:sz w:val="32"/>
          <w:szCs w:val="32"/>
          <w:highlight w:val="none"/>
          <w14:textFill>
            <w14:solidFill>
              <w14:schemeClr w14:val="tx1"/>
            </w14:solidFill>
          </w14:textFill>
        </w:rPr>
        <w:fldChar w:fldCharType="begin"/>
      </w:r>
      <w:r>
        <w:rPr>
          <w:rFonts w:hint="eastAsia" w:ascii="仿宋" w:hAnsi="仿宋" w:eastAsia="仿宋" w:cs="仿宋"/>
          <w:color w:val="000000" w:themeColor="text1"/>
          <w:sz w:val="32"/>
          <w:szCs w:val="32"/>
          <w:highlight w:val="none"/>
          <w14:textFill>
            <w14:solidFill>
              <w14:schemeClr w14:val="tx1"/>
            </w14:solidFill>
          </w14:textFill>
        </w:rPr>
        <w:instrText xml:space="preserve"> PAGEREF _Toc32756 \h </w:instrText>
      </w:r>
      <w:r>
        <w:rPr>
          <w:rFonts w:hint="eastAsia" w:ascii="仿宋" w:hAnsi="仿宋" w:eastAsia="仿宋" w:cs="仿宋"/>
          <w:color w:val="000000" w:themeColor="text1"/>
          <w:sz w:val="32"/>
          <w:szCs w:val="32"/>
          <w:highlight w:val="none"/>
          <w14:textFill>
            <w14:solidFill>
              <w14:schemeClr w14:val="tx1"/>
            </w14:solidFill>
          </w14:textFill>
        </w:rPr>
        <w:fldChar w:fldCharType="separate"/>
      </w:r>
      <w:r>
        <w:rPr>
          <w:rFonts w:hint="eastAsia" w:ascii="仿宋" w:hAnsi="仿宋" w:eastAsia="仿宋" w:cs="仿宋"/>
          <w:color w:val="000000" w:themeColor="text1"/>
          <w:sz w:val="32"/>
          <w:szCs w:val="32"/>
          <w:highlight w:val="none"/>
          <w14:textFill>
            <w14:solidFill>
              <w14:schemeClr w14:val="tx1"/>
            </w14:solidFill>
          </w14:textFill>
        </w:rPr>
        <w:t>93</w:t>
      </w:r>
      <w:r>
        <w:rPr>
          <w:rFonts w:hint="eastAsia" w:ascii="仿宋" w:hAnsi="仿宋" w:eastAsia="仿宋" w:cs="仿宋"/>
          <w:color w:val="000000" w:themeColor="text1"/>
          <w:sz w:val="32"/>
          <w:szCs w:val="32"/>
          <w:highlight w:val="none"/>
          <w14:textFill>
            <w14:solidFill>
              <w14:schemeClr w14:val="tx1"/>
            </w14:solidFill>
          </w14:textFill>
        </w:rPr>
        <w:fldChar w:fldCharType="end"/>
      </w:r>
      <w:r>
        <w:rPr>
          <w:rFonts w:hint="eastAsia" w:ascii="仿宋" w:hAnsi="仿宋" w:eastAsia="仿宋" w:cs="仿宋"/>
          <w:color w:val="000000" w:themeColor="text1"/>
          <w:sz w:val="32"/>
          <w:szCs w:val="28"/>
          <w:highlight w:val="none"/>
          <w14:textFill>
            <w14:solidFill>
              <w14:schemeClr w14:val="tx1"/>
            </w14:solidFill>
          </w14:textFill>
        </w:rPr>
        <w:fldChar w:fldCharType="end"/>
      </w:r>
    </w:p>
    <w:p>
      <w:pPr>
        <w:keepNext w:val="0"/>
        <w:keepLines w:val="0"/>
        <w:widowControl w:val="0"/>
        <w:kinsoku/>
        <w:wordWrap/>
        <w:overflowPunct/>
        <w:topLinePunct w:val="0"/>
        <w:autoSpaceDE/>
        <w:autoSpaceDN/>
        <w:bidi w:val="0"/>
        <w:adjustRightInd/>
        <w:snapToGrid/>
        <w:spacing w:line="800" w:lineRule="exact"/>
        <w:jc w:val="center"/>
        <w:textAlignment w:val="auto"/>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Cs w:val="30"/>
          <w:highlight w:val="none"/>
          <w14:textFill>
            <w14:solidFill>
              <w14:schemeClr w14:val="tx1"/>
            </w14:solidFill>
          </w14:textFill>
        </w:rPr>
        <w:fldChar w:fldCharType="end"/>
      </w:r>
    </w:p>
    <w:p>
      <w:pPr>
        <w:spacing w:line="560" w:lineRule="exact"/>
        <w:rPr>
          <w:rFonts w:hint="eastAsia" w:ascii="仿宋" w:hAnsi="仿宋" w:eastAsia="仿宋" w:cs="仿宋"/>
          <w:color w:val="000000" w:themeColor="text1"/>
          <w:sz w:val="28"/>
          <w:highlight w:val="none"/>
          <w14:textFill>
            <w14:solidFill>
              <w14:schemeClr w14:val="tx1"/>
            </w14:solidFill>
          </w14:textFill>
        </w:rPr>
      </w:pPr>
    </w:p>
    <w:p>
      <w:pPr>
        <w:tabs>
          <w:tab w:val="left" w:pos="7041"/>
        </w:tabs>
        <w:ind w:firstLine="2209" w:firstLineChars="500"/>
        <w:rPr>
          <w:rFonts w:hint="eastAsia" w:ascii="仿宋" w:hAnsi="仿宋" w:eastAsia="仿宋" w:cs="仿宋"/>
          <w:b/>
          <w:color w:val="000000" w:themeColor="text1"/>
          <w:sz w:val="44"/>
          <w:szCs w:val="44"/>
          <w:highlight w:val="none"/>
          <w14:textFill>
            <w14:solidFill>
              <w14:schemeClr w14:val="tx1"/>
            </w14:solidFill>
          </w14:textFill>
        </w:rPr>
        <w:sectPr>
          <w:headerReference r:id="rId4" w:type="first"/>
          <w:footerReference r:id="rId5" w:type="first"/>
          <w:headerReference r:id="rId3" w:type="default"/>
          <w:pgSz w:w="11906" w:h="16838"/>
          <w:pgMar w:top="1134" w:right="1134" w:bottom="1701" w:left="1560" w:header="851" w:footer="992" w:gutter="0"/>
          <w:cols w:space="720" w:num="1"/>
          <w:titlePg/>
          <w:rtlGutter w:val="1"/>
          <w:docGrid w:type="lines" w:linePitch="520" w:charSpace="0"/>
        </w:sectPr>
      </w:pPr>
      <w:r>
        <w:rPr>
          <w:rFonts w:hint="eastAsia" w:ascii="仿宋" w:hAnsi="仿宋" w:eastAsia="仿宋" w:cs="仿宋"/>
          <w:b/>
          <w:color w:val="000000" w:themeColor="text1"/>
          <w:sz w:val="44"/>
          <w:szCs w:val="44"/>
          <w:highlight w:val="none"/>
          <w14:textFill>
            <w14:solidFill>
              <w14:schemeClr w14:val="tx1"/>
            </w14:solidFill>
          </w14:textFill>
        </w:rPr>
        <w:tab/>
      </w:r>
    </w:p>
    <w:p>
      <w:pPr>
        <w:keepNext w:val="0"/>
        <w:keepLines w:val="0"/>
        <w:pageBreakBefore w:val="0"/>
        <w:widowControl w:val="0"/>
        <w:numPr>
          <w:ilvl w:val="0"/>
          <w:numId w:val="2"/>
        </w:numPr>
        <w:kinsoku/>
        <w:wordWrap/>
        <w:overflowPunct/>
        <w:topLinePunct w:val="0"/>
        <w:autoSpaceDE/>
        <w:autoSpaceDN/>
        <w:bidi w:val="0"/>
        <w:adjustRightInd/>
        <w:snapToGrid/>
        <w:ind w:firstLine="2209" w:firstLineChars="500"/>
        <w:textAlignment w:val="auto"/>
        <w:outlineLvl w:val="0"/>
        <w:rPr>
          <w:rFonts w:hint="eastAsia" w:ascii="仿宋" w:hAnsi="仿宋" w:eastAsia="仿宋" w:cs="仿宋"/>
          <w:b/>
          <w:color w:val="000000" w:themeColor="text1"/>
          <w:sz w:val="44"/>
          <w:szCs w:val="44"/>
          <w:highlight w:val="none"/>
          <w14:textFill>
            <w14:solidFill>
              <w14:schemeClr w14:val="tx1"/>
            </w14:solidFill>
          </w14:textFill>
        </w:rPr>
      </w:pPr>
      <w:r>
        <w:rPr>
          <w:rFonts w:hint="eastAsia" w:ascii="仿宋" w:hAnsi="仿宋" w:eastAsia="仿宋" w:cs="仿宋"/>
          <w:b/>
          <w:color w:val="000000" w:themeColor="text1"/>
          <w:sz w:val="44"/>
          <w:szCs w:val="44"/>
          <w:highlight w:val="none"/>
          <w14:textFill>
            <w14:solidFill>
              <w14:schemeClr w14:val="tx1"/>
            </w14:solidFill>
          </w14:textFill>
        </w:rPr>
        <w:t xml:space="preserve">  </w:t>
      </w:r>
      <w:bookmarkStart w:id="9" w:name="_Toc31698"/>
      <w:r>
        <w:rPr>
          <w:rFonts w:hint="eastAsia" w:ascii="仿宋" w:hAnsi="仿宋" w:eastAsia="仿宋" w:cs="仿宋"/>
          <w:b/>
          <w:color w:val="000000" w:themeColor="text1"/>
          <w:sz w:val="44"/>
          <w:szCs w:val="44"/>
          <w:highlight w:val="none"/>
          <w14:textFill>
            <w14:solidFill>
              <w14:schemeClr w14:val="tx1"/>
            </w14:solidFill>
          </w14:textFill>
        </w:rPr>
        <w:t>招标公告</w:t>
      </w:r>
      <w:bookmarkEnd w:id="9"/>
    </w:p>
    <w:p>
      <w:pPr>
        <w:widowControl/>
        <w:pBdr>
          <w:top w:val="single" w:color="auto" w:sz="4" w:space="1"/>
          <w:left w:val="single" w:color="auto" w:sz="4" w:space="4"/>
          <w:right w:val="single" w:color="auto" w:sz="4" w:space="4"/>
        </w:pBdr>
        <w:spacing w:before="260" w:beforeLines="50" w:line="500" w:lineRule="atLeast"/>
        <w:ind w:firstLine="562" w:firstLineChars="200"/>
        <w:jc w:val="left"/>
        <w:rPr>
          <w:rFonts w:hint="eastAsia" w:ascii="仿宋" w:hAnsi="仿宋" w:eastAsia="仿宋" w:cs="仿宋"/>
          <w:b/>
          <w:bCs/>
          <w:color w:val="000000" w:themeColor="text1"/>
          <w:kern w:val="0"/>
          <w:sz w:val="28"/>
          <w:szCs w:val="28"/>
          <w:highlight w:val="none"/>
          <w:lang w:bidi="ar"/>
          <w14:textFill>
            <w14:solidFill>
              <w14:schemeClr w14:val="tx1"/>
            </w14:solidFill>
          </w14:textFill>
        </w:rPr>
      </w:pPr>
      <w:r>
        <w:rPr>
          <w:rFonts w:hint="eastAsia" w:ascii="仿宋" w:hAnsi="仿宋" w:eastAsia="仿宋" w:cs="仿宋"/>
          <w:b/>
          <w:bCs/>
          <w:color w:val="000000" w:themeColor="text1"/>
          <w:kern w:val="0"/>
          <w:sz w:val="28"/>
          <w:szCs w:val="28"/>
          <w:highlight w:val="none"/>
          <w:lang w:bidi="ar"/>
          <w14:textFill>
            <w14:solidFill>
              <w14:schemeClr w14:val="tx1"/>
            </w14:solidFill>
          </w14:textFill>
        </w:rPr>
        <w:t>项目概况</w:t>
      </w:r>
    </w:p>
    <w:p>
      <w:pPr>
        <w:widowControl/>
        <w:pBdr>
          <w:left w:val="single" w:color="auto" w:sz="4" w:space="4"/>
          <w:bottom w:val="single" w:color="auto" w:sz="4" w:space="12"/>
          <w:right w:val="single" w:color="auto" w:sz="4" w:space="4"/>
        </w:pBdr>
        <w:spacing w:line="520" w:lineRule="atLeast"/>
        <w:ind w:firstLine="51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威海热电集团有限公司市区公司高压变频器功率单元升级改造项目、博通公司#6炉引风机、一、二次风机变频器升级改造项目</w:t>
      </w:r>
      <w:r>
        <w:rPr>
          <w:rFonts w:hint="eastAsia" w:ascii="仿宋" w:hAnsi="仿宋" w:eastAsia="仿宋" w:cs="仿宋"/>
          <w:color w:val="000000" w:themeColor="text1"/>
          <w:kern w:val="0"/>
          <w:sz w:val="28"/>
          <w:szCs w:val="28"/>
          <w:highlight w:val="none"/>
          <w14:textFill>
            <w14:solidFill>
              <w14:schemeClr w14:val="tx1"/>
            </w14:solidFill>
          </w14:textFill>
        </w:rPr>
        <w:t>的潜在投标人请登录“威海市公共资源交易网”（网址：</w:t>
      </w:r>
      <w:r>
        <w:rPr>
          <w:rFonts w:hint="eastAsia" w:ascii="仿宋" w:hAnsi="仿宋" w:eastAsia="仿宋" w:cs="仿宋"/>
          <w:color w:val="000000" w:themeColor="text1"/>
          <w:kern w:val="0"/>
          <w:sz w:val="28"/>
          <w:szCs w:val="28"/>
          <w:highlight w:val="none"/>
          <w14:textFill>
            <w14:solidFill>
              <w14:schemeClr w14:val="tx1"/>
            </w14:solidFill>
          </w14:textFill>
        </w:rPr>
        <w:drawing>
          <wp:inline distT="0" distB="0" distL="114300" distR="114300">
            <wp:extent cx="189230" cy="142875"/>
            <wp:effectExtent l="0" t="0" r="1270" b="9525"/>
            <wp:docPr id="2"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IMG_256"/>
                    <pic:cNvPicPr>
                      <a:picLocks noChangeAspect="1"/>
                    </pic:cNvPicPr>
                  </pic:nvPicPr>
                  <pic:blipFill>
                    <a:blip r:embed="rId12"/>
                    <a:stretch>
                      <a:fillRect/>
                    </a:stretch>
                  </pic:blipFill>
                  <pic:spPr>
                    <a:xfrm>
                      <a:off x="0" y="0"/>
                      <a:ext cx="189230" cy="142875"/>
                    </a:xfrm>
                    <a:prstGeom prst="rect">
                      <a:avLst/>
                    </a:prstGeom>
                    <a:noFill/>
                    <a:ln>
                      <a:noFill/>
                    </a:ln>
                  </pic:spPr>
                </pic:pic>
              </a:graphicData>
            </a:graphic>
          </wp:inline>
        </w:drawing>
      </w:r>
      <w:r>
        <w:rPr>
          <w:rFonts w:hint="eastAsia" w:ascii="仿宋" w:hAnsi="仿宋" w:eastAsia="仿宋" w:cs="仿宋"/>
          <w:color w:val="000000" w:themeColor="text1"/>
          <w:kern w:val="0"/>
          <w:sz w:val="28"/>
          <w:szCs w:val="28"/>
          <w:highlight w:val="none"/>
          <w14:textFill>
            <w14:solidFill>
              <w14:schemeClr w14:val="tx1"/>
            </w14:solidFill>
          </w14:textFill>
        </w:rPr>
        <w:t>http://ggzyjy.weihai.cn/）首页右侧“交易服务一网通办系统”</w:t>
      </w:r>
      <w:r>
        <w:rPr>
          <w:rFonts w:hint="eastAsia" w:ascii="仿宋" w:hAnsi="仿宋" w:eastAsia="仿宋" w:cs="仿宋"/>
          <w:color w:val="000000" w:themeColor="text1"/>
          <w:kern w:val="0"/>
          <w:sz w:val="28"/>
          <w:szCs w:val="28"/>
          <w:highlight w:val="none"/>
          <w:lang w:eastAsia="zh-CN"/>
          <w14:textFill>
            <w14:solidFill>
              <w14:schemeClr w14:val="tx1"/>
            </w14:solidFill>
          </w14:textFill>
        </w:rPr>
        <w:t>，进行</w:t>
      </w:r>
      <w:r>
        <w:rPr>
          <w:rFonts w:hint="eastAsia" w:ascii="仿宋" w:hAnsi="仿宋" w:eastAsia="仿宋" w:cs="仿宋"/>
          <w:color w:val="000000" w:themeColor="text1"/>
          <w:kern w:val="0"/>
          <w:sz w:val="28"/>
          <w:szCs w:val="28"/>
          <w:highlight w:val="none"/>
          <w14:textFill>
            <w14:solidFill>
              <w14:schemeClr w14:val="tx1"/>
            </w14:solidFill>
          </w14:textFill>
        </w:rPr>
        <w:t>平台切换</w:t>
      </w:r>
      <w:r>
        <w:rPr>
          <w:rFonts w:hint="eastAsia" w:ascii="仿宋" w:hAnsi="仿宋" w:eastAsia="仿宋" w:cs="仿宋"/>
          <w:color w:val="000000" w:themeColor="text1"/>
          <w:kern w:val="0"/>
          <w:sz w:val="28"/>
          <w:szCs w:val="28"/>
          <w:highlight w:val="none"/>
          <w:lang w:eastAsia="zh-CN"/>
          <w14:textFill>
            <w14:solidFill>
              <w14:schemeClr w14:val="tx1"/>
            </w14:solidFill>
          </w14:textFill>
        </w:rPr>
        <w:t>，点击</w:t>
      </w:r>
      <w:r>
        <w:rPr>
          <w:rFonts w:hint="eastAsia" w:ascii="仿宋" w:hAnsi="仿宋" w:eastAsia="仿宋" w:cs="仿宋"/>
          <w:color w:val="000000" w:themeColor="text1"/>
          <w:kern w:val="0"/>
          <w:sz w:val="28"/>
          <w:szCs w:val="28"/>
          <w:highlight w:val="none"/>
          <w14:textFill>
            <w14:solidFill>
              <w14:schemeClr w14:val="tx1"/>
            </w14:solidFill>
          </w14:textFill>
        </w:rPr>
        <w:t>“国企采购”进入国有企业阳光采购电子化服务平台获取文件，并于</w:t>
      </w:r>
      <w:r>
        <w:rPr>
          <w:rFonts w:hint="eastAsia" w:ascii="仿宋" w:hAnsi="仿宋" w:eastAsia="仿宋" w:cs="仿宋"/>
          <w:color w:val="000000" w:themeColor="text1"/>
          <w:kern w:val="0"/>
          <w:sz w:val="28"/>
          <w:szCs w:val="28"/>
          <w:highlight w:val="none"/>
          <w:lang w:eastAsia="zh-CN"/>
          <w14:textFill>
            <w14:solidFill>
              <w14:schemeClr w14:val="tx1"/>
            </w14:solidFill>
          </w14:textFill>
        </w:rPr>
        <w:t>2026</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6月10</w:t>
      </w:r>
      <w:r>
        <w:rPr>
          <w:rFonts w:hint="eastAsia" w:ascii="仿宋" w:hAnsi="仿宋" w:eastAsia="仿宋" w:cs="仿宋"/>
          <w:color w:val="000000" w:themeColor="text1"/>
          <w:kern w:val="0"/>
          <w:sz w:val="28"/>
          <w:szCs w:val="28"/>
          <w:highlight w:val="none"/>
          <w14:textFill>
            <w14:solidFill>
              <w14:schemeClr w14:val="tx1"/>
            </w14:solidFill>
          </w14:textFill>
        </w:rPr>
        <w:t>日</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9</w:t>
      </w:r>
      <w:r>
        <w:rPr>
          <w:rFonts w:hint="eastAsia" w:ascii="仿宋" w:hAnsi="仿宋" w:eastAsia="仿宋" w:cs="仿宋"/>
          <w:color w:val="000000" w:themeColor="text1"/>
          <w:kern w:val="0"/>
          <w:sz w:val="28"/>
          <w:szCs w:val="28"/>
          <w:highlight w:val="none"/>
          <w14:textFill>
            <w14:solidFill>
              <w14:schemeClr w14:val="tx1"/>
            </w14:solidFill>
          </w14:textFill>
        </w:rPr>
        <w:t>:00（北京时间）前递交投标文件。</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一、招标条件</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r>
        <w:rPr>
          <w:rFonts w:hint="eastAsia" w:ascii="仿宋" w:hAnsi="仿宋" w:eastAsia="仿宋" w:cs="仿宋"/>
          <w:color w:val="000000" w:themeColor="text1"/>
          <w:sz w:val="28"/>
          <w:szCs w:val="28"/>
          <w:highlight w:val="none"/>
          <w14:textFill>
            <w14:solidFill>
              <w14:schemeClr w14:val="tx1"/>
            </w14:solidFill>
          </w14:textFill>
        </w:rPr>
        <w:t>已经批准，招标人</w:t>
      </w:r>
      <w:r>
        <w:rPr>
          <w:rFonts w:hint="eastAsia" w:ascii="仿宋" w:hAnsi="仿宋" w:eastAsia="仿宋" w:cs="仿宋"/>
          <w:color w:val="000000" w:themeColor="text1"/>
          <w:sz w:val="28"/>
          <w:szCs w:val="28"/>
          <w:highlight w:val="none"/>
          <w:lang w:eastAsia="zh-CN"/>
          <w14:textFill>
            <w14:solidFill>
              <w14:schemeClr w14:val="tx1"/>
            </w14:solidFill>
          </w14:textFill>
        </w:rPr>
        <w:t>为威海热电集团有限公司，资金自筹，项目已</w:t>
      </w:r>
      <w:r>
        <w:rPr>
          <w:rFonts w:hint="eastAsia" w:ascii="仿宋" w:hAnsi="仿宋" w:eastAsia="仿宋" w:cs="仿宋"/>
          <w:color w:val="000000" w:themeColor="text1"/>
          <w:sz w:val="28"/>
          <w:szCs w:val="28"/>
          <w:highlight w:val="none"/>
          <w14:textFill>
            <w14:solidFill>
              <w14:schemeClr w14:val="tx1"/>
            </w14:solidFill>
          </w14:textFill>
        </w:rPr>
        <w:t xml:space="preserve">具备招标条件，现对该项目进行公开招标，欢迎符合条件的投标人前来参加投标。 </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二、项目基本情况</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left"/>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lang w:eastAsia="zh-CN"/>
          <w14:textFill>
            <w14:solidFill>
              <w14:schemeClr w14:val="tx1"/>
            </w14:solidFill>
          </w14:textFill>
        </w:rPr>
        <w:t>招标编号</w:t>
      </w:r>
      <w:r>
        <w:rPr>
          <w:rFonts w:hint="eastAsia" w:ascii="仿宋" w:hAnsi="仿宋" w:eastAsia="仿宋" w:cs="仿宋"/>
          <w:color w:val="000000" w:themeColor="text1"/>
          <w:kern w:val="0"/>
          <w:sz w:val="28"/>
          <w:szCs w:val="28"/>
          <w:highlight w:val="none"/>
          <w14:textFill>
            <w14:solidFill>
              <w14:schemeClr w14:val="tx1"/>
            </w14:solidFill>
          </w14:textFill>
        </w:rPr>
        <w:t>：</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2026-025</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招标</w:t>
      </w:r>
      <w:r>
        <w:rPr>
          <w:rFonts w:hint="eastAsia" w:ascii="仿宋" w:hAnsi="仿宋" w:eastAsia="仿宋" w:cs="仿宋"/>
          <w:color w:val="000000" w:themeColor="text1"/>
          <w:sz w:val="28"/>
          <w:szCs w:val="28"/>
          <w:highlight w:val="none"/>
          <w14:textFill>
            <w14:solidFill>
              <w14:schemeClr w14:val="tx1"/>
            </w14:solidFill>
          </w14:textFill>
        </w:rPr>
        <w:t>内容</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本项目为</w:t>
      </w: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r>
        <w:rPr>
          <w:rFonts w:hint="eastAsia" w:ascii="仿宋" w:hAnsi="仿宋" w:eastAsia="仿宋" w:cs="仿宋"/>
          <w:color w:val="000000" w:themeColor="text1"/>
          <w:sz w:val="28"/>
          <w:szCs w:val="28"/>
          <w:highlight w:val="none"/>
          <w:lang w:val="en-US" w:eastAsia="zh-CN"/>
          <w14:textFill>
            <w14:solidFill>
              <w14:schemeClr w14:val="tx1"/>
            </w14:solidFill>
          </w14:textFill>
        </w:rPr>
        <w:t>具体内容详见招标文件</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三、投标人资格要求</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1.在中华人民共和国境内注册并合法运作的独立法人机构；</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.具有良好的商业信誉和健全的财务会计制度；</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.具有履行合同的能力，并能提供优质的服务；</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.提供的方案质量保证、性能可靠、技术合格；</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参加本次招标采购活动前三年内，在经营活动中没有重大违法记录；</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法定代表人为同一个人的两个及两个以上法人、母公司、全资子公司及其控股公司，只能有一家单位参加投标；</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及其法定代表人、委托代理人未被最高法院列入失信被执行人；</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近一年在“信用中国”或“信用中国（山东）”无严重失信记录；</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本项目</w:t>
      </w:r>
      <w:r>
        <w:rPr>
          <w:rFonts w:hint="eastAsia" w:ascii="仿宋" w:hAnsi="仿宋" w:eastAsia="仿宋" w:cs="仿宋"/>
          <w:color w:val="000000" w:themeColor="text1"/>
          <w:sz w:val="28"/>
          <w:szCs w:val="28"/>
          <w:highlight w:val="none"/>
          <w:lang w:val="en-US" w:eastAsia="zh-CN"/>
          <w14:textFill>
            <w14:solidFill>
              <w14:schemeClr w14:val="tx1"/>
            </w14:solidFill>
          </w14:textFill>
        </w:rPr>
        <w:t>不</w:t>
      </w:r>
      <w:r>
        <w:rPr>
          <w:rFonts w:hint="eastAsia" w:ascii="仿宋" w:hAnsi="仿宋" w:eastAsia="仿宋" w:cs="仿宋"/>
          <w:color w:val="000000" w:themeColor="text1"/>
          <w:sz w:val="28"/>
          <w:szCs w:val="28"/>
          <w:highlight w:val="none"/>
          <w14:textFill>
            <w14:solidFill>
              <w14:schemeClr w14:val="tx1"/>
            </w14:solidFill>
          </w14:textFill>
        </w:rPr>
        <w:t>接受联合体投标，中标后不得分包或转包。</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四、获</w:t>
      </w:r>
      <w:r>
        <w:rPr>
          <w:rFonts w:hint="eastAsia" w:ascii="仿宋" w:hAnsi="仿宋" w:eastAsia="仿宋" w:cs="仿宋"/>
          <w:b/>
          <w:color w:val="000000" w:themeColor="text1"/>
          <w:sz w:val="28"/>
          <w:szCs w:val="28"/>
          <w:highlight w:val="none"/>
          <w14:textFill>
            <w14:solidFill>
              <w14:schemeClr w14:val="tx1"/>
            </w14:solidFill>
          </w14:textFill>
        </w:rPr>
        <w:t>取招标文件时间及地点</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1.时间：</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5月22</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00</w:t>
      </w:r>
      <w:r>
        <w:rPr>
          <w:rFonts w:hint="eastAsia" w:ascii="仿宋" w:hAnsi="仿宋" w:eastAsia="仿宋" w:cs="仿宋"/>
          <w:color w:val="000000" w:themeColor="text1"/>
          <w:sz w:val="28"/>
          <w:szCs w:val="28"/>
          <w:highlight w:val="none"/>
          <w14:textFill>
            <w14:solidFill>
              <w14:schemeClr w14:val="tx1"/>
            </w14:solidFill>
          </w14:textFill>
        </w:rPr>
        <w:t>至</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5月29</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0</w:t>
      </w:r>
      <w:r>
        <w:rPr>
          <w:rFonts w:hint="eastAsia" w:ascii="仿宋" w:hAnsi="仿宋" w:eastAsia="仿宋" w:cs="仿宋"/>
          <w:color w:val="000000" w:themeColor="text1"/>
          <w:sz w:val="28"/>
          <w:szCs w:val="28"/>
          <w:highlight w:val="none"/>
          <w14:textFill>
            <w14:solidFill>
              <w14:schemeClr w14:val="tx1"/>
            </w14:solidFill>
          </w14:textFill>
        </w:rPr>
        <w:t>0（北京时间）</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2.地点：</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bookmarkStart w:id="10" w:name="OLE_LINK13"/>
      <w:r>
        <w:rPr>
          <w:rFonts w:hint="eastAsia" w:ascii="仿宋" w:hAnsi="仿宋" w:eastAsia="仿宋" w:cs="仿宋"/>
          <w:color w:val="000000" w:themeColor="text1"/>
          <w:sz w:val="28"/>
          <w:szCs w:val="28"/>
          <w:highlight w:val="none"/>
          <w:lang w:val="en-US" w:eastAsia="zh-CN"/>
          <w14:textFill>
            <w14:solidFill>
              <w14:schemeClr w14:val="tx1"/>
            </w14:solidFill>
          </w14:textFill>
        </w:rPr>
        <w:t>登录“威海市公共资源交易网”首页右侧“交易服务</w:t>
      </w:r>
      <w:bookmarkStart w:id="11" w:name="OLE_LINK9"/>
      <w:bookmarkStart w:id="12" w:name="OLE_LINK10"/>
      <w:r>
        <w:rPr>
          <w:rFonts w:hint="eastAsia" w:ascii="仿宋" w:hAnsi="仿宋" w:eastAsia="仿宋" w:cs="仿宋"/>
          <w:color w:val="000000" w:themeColor="text1"/>
          <w:sz w:val="28"/>
          <w:szCs w:val="28"/>
          <w:highlight w:val="none"/>
          <w:lang w:val="en-US" w:eastAsia="zh-CN"/>
          <w14:textFill>
            <w14:solidFill>
              <w14:schemeClr w14:val="tx1"/>
            </w14:solidFill>
          </w14:textFill>
        </w:rPr>
        <w:t>一网通办系统</w:t>
      </w:r>
      <w:bookmarkEnd w:id="11"/>
      <w:bookmarkEnd w:id="12"/>
      <w:r>
        <w:rPr>
          <w:rFonts w:hint="eastAsia" w:ascii="仿宋" w:hAnsi="仿宋" w:eastAsia="仿宋" w:cs="仿宋"/>
          <w:color w:val="000000" w:themeColor="text1"/>
          <w:sz w:val="28"/>
          <w:szCs w:val="28"/>
          <w:highlight w:val="none"/>
          <w:lang w:val="en-US" w:eastAsia="zh-CN"/>
          <w14:textFill>
            <w14:solidFill>
              <w14:schemeClr w14:val="tx1"/>
            </w14:solidFill>
          </w14:textFill>
        </w:rPr>
        <w:t>-（新版）一网通办系统”，进行“平台切换”，点击“国企采购”进入国企阳光采购平台</w:t>
      </w:r>
      <w:bookmarkEnd w:id="10"/>
      <w:r>
        <w:rPr>
          <w:rFonts w:hint="eastAsia" w:ascii="仿宋" w:hAnsi="仿宋" w:eastAsia="仿宋" w:cs="仿宋"/>
          <w:color w:val="000000" w:themeColor="text1"/>
          <w:sz w:val="28"/>
          <w:szCs w:val="28"/>
          <w:highlight w:val="none"/>
          <w:lang w:val="en-US" w:eastAsia="zh-CN"/>
          <w14:textFill>
            <w14:solidFill>
              <w14:schemeClr w14:val="tx1"/>
            </w14:solidFill>
          </w14:textFill>
        </w:rPr>
        <w:t>获取文件（网址：http://ggzyjy.weihai.cn/）。逾期无法从威海市国有企业阳光采购服务平台中获取文件，未在规定时间内从系统中获取采购文件的报价单位将无法提交电子投标（响应）文件。</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（2）国企采购技术支持电话：17863029936，国企采购技术支持QQ群（报价单位）：1046971257。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（3）国企采购报价单位操作手册网址：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bookmarkStart w:id="13" w:name="OLE_LINK12"/>
      <w:bookmarkStart w:id="14" w:name="OLE_LINK11"/>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"https://ggzyjy.weihai.cn/bszn/005005/20260109/eb4ba418-4b35-4f05-aa69-44fd7d8a7ffb.html"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https://ggzyjy.weihai.cn/bszn/005005/20260109/eb4ba418-4b35-4f05-aa69-44fd7d8a7ffb.html</w:t>
      </w:r>
      <w:bookmarkEnd w:id="13"/>
      <w:bookmarkEnd w:id="14"/>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（4）响应文件递交地点：登录“威海市公共资源交易网”首页右侧“交易服务一网通办系统－（新版）一网通办系统”进行“平台切换”点击“国企采购”进入国企阳光采购平台进行提交。</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（5）电子投标特别提示中个别条款：</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①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②电子响应文件的制作及提交等有关操作见本文件及威海市公共资源交易网办事指南栏目－国企采购专区－《新版威海市国有企业阳光采购服务平台操作演示视频（供应商）》，网址：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。响应文件制作及系统使用咨询电话：17863029936 ；QQ服务群：1046971257。</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③网上提交响应文件时，登录交易平台的电脑须满足环境要求（详见新版威海市国有企业阳光采购服务平台供应商用户手册</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"https://ggzyjy.weihai.cn/bszn/005005/20260109/eb4ba418-4b35-4f05-aa69-44fd7d8a7ffb.html）。"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https://ggzyjy.weihai.cn/bszn/005005/20260109/eb4ba418-4b35-4f05-aa69-44fd7d8a7ffb.html）。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五、提交投标文件截止时间、开标时间和地点</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1.提交投标文件时间：</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5月22</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18</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30</w:t>
      </w:r>
      <w:r>
        <w:rPr>
          <w:rFonts w:hint="eastAsia" w:ascii="仿宋" w:hAnsi="仿宋" w:eastAsia="仿宋" w:cs="仿宋"/>
          <w:color w:val="000000" w:themeColor="text1"/>
          <w:sz w:val="28"/>
          <w:szCs w:val="28"/>
          <w:highlight w:val="none"/>
          <w14:textFill>
            <w14:solidFill>
              <w14:schemeClr w14:val="tx1"/>
            </w14:solidFill>
          </w14:textFill>
        </w:rPr>
        <w:t>至</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6月10</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00（北京时间）</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地点：通过“威海市公共资源交易网”首页右侧“交易服务一网通办系统”进行平台切换点击“国企采购”进入国有企业阳光采购电子化服务平台网上递交。已在威海市国有企业阳光采购电子化服务平台获取文件的投标人在规定时间内递交电子投标文件。</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3.开标时间：</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lang w:val="en-US" w:eastAsia="zh-CN"/>
          <w14:textFill>
            <w14:solidFill>
              <w14:schemeClr w14:val="tx1"/>
            </w14:solidFill>
          </w14:textFill>
        </w:rPr>
        <w:t>6月10</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00（北京时间）</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0" w:firstLineChars="2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4.开标地点：威海市公共资源交易中心交易</w:t>
      </w:r>
      <w:r>
        <w:rPr>
          <w:rFonts w:hint="eastAsia" w:ascii="仿宋" w:hAnsi="仿宋" w:eastAsia="仿宋" w:cs="仿宋"/>
          <w:color w:val="000000" w:themeColor="text1"/>
          <w:sz w:val="28"/>
          <w:szCs w:val="28"/>
          <w:highlight w:val="none"/>
          <w:lang w:val="en-US" w:eastAsia="zh-CN"/>
          <w14:textFill>
            <w14:solidFill>
              <w14:schemeClr w14:val="tx1"/>
            </w14:solidFill>
          </w14:textFill>
        </w:rPr>
        <w:t>十</w:t>
      </w:r>
      <w:r>
        <w:rPr>
          <w:rFonts w:hint="eastAsia" w:ascii="仿宋" w:hAnsi="仿宋" w:eastAsia="仿宋" w:cs="仿宋"/>
          <w:color w:val="000000" w:themeColor="text1"/>
          <w:sz w:val="28"/>
          <w:szCs w:val="28"/>
          <w:highlight w:val="none"/>
          <w14:textFill>
            <w14:solidFill>
              <w14:schemeClr w14:val="tx1"/>
            </w14:solidFill>
          </w14:textFill>
        </w:rPr>
        <w:t>厅（</w:t>
      </w:r>
      <w:r>
        <w:rPr>
          <w:rFonts w:hint="eastAsia" w:ascii="仿宋" w:hAnsi="仿宋" w:eastAsia="仿宋" w:cs="仿宋"/>
          <w:color w:val="000000" w:themeColor="text1"/>
          <w:sz w:val="28"/>
          <w:szCs w:val="28"/>
          <w:highlight w:val="none"/>
          <w:lang w:eastAsia="zh-CN"/>
          <w14:textFill>
            <w14:solidFill>
              <w14:schemeClr w14:val="tx1"/>
            </w14:solidFill>
          </w14:textFill>
        </w:rPr>
        <w:t>威海市环翠区塔山中路317号</w:t>
      </w:r>
      <w:r>
        <w:rPr>
          <w:rFonts w:hint="eastAsia" w:ascii="仿宋" w:hAnsi="仿宋" w:eastAsia="仿宋" w:cs="仿宋"/>
          <w:color w:val="000000" w:themeColor="text1"/>
          <w:sz w:val="28"/>
          <w:szCs w:val="28"/>
          <w:highlight w:val="none"/>
          <w14:textFill>
            <w14:solidFill>
              <w14:schemeClr w14:val="tx1"/>
            </w14:solidFill>
          </w14:textFill>
        </w:rPr>
        <w:t>）。</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六、其他补充事宜</w:t>
      </w:r>
    </w:p>
    <w:p>
      <w:pPr>
        <w:keepNext w:val="0"/>
        <w:keepLines w:val="0"/>
        <w:pageBreakBefore w:val="0"/>
        <w:widowControl w:val="0"/>
        <w:kinsoku/>
        <w:wordWrap/>
        <w:overflowPunct/>
        <w:topLinePunct w:val="0"/>
        <w:autoSpaceDE/>
        <w:autoSpaceDN/>
        <w:bidi w:val="0"/>
        <w:adjustRightInd/>
        <w:snapToGrid/>
        <w:spacing w:line="520" w:lineRule="exact"/>
        <w:ind w:firstLine="476" w:firstLineChars="170"/>
        <w:textAlignment w:val="auto"/>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1.本项目实行全流程电子化，在提交投标文件截止时间前，随时关注威海市公共资源交易网（变更公告栏）内的变更提醒。</w:t>
      </w:r>
    </w:p>
    <w:p>
      <w:pPr>
        <w:keepNext w:val="0"/>
        <w:keepLines w:val="0"/>
        <w:pageBreakBefore w:val="0"/>
        <w:widowControl w:val="0"/>
        <w:kinsoku/>
        <w:wordWrap/>
        <w:overflowPunct/>
        <w:topLinePunct w:val="0"/>
        <w:autoSpaceDE/>
        <w:autoSpaceDN/>
        <w:bidi w:val="0"/>
        <w:adjustRightInd/>
        <w:snapToGrid/>
        <w:spacing w:line="520" w:lineRule="exact"/>
        <w:ind w:firstLine="476" w:firstLineChars="170"/>
        <w:textAlignment w:val="auto"/>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0"/>
          <w:sz w:val="28"/>
          <w:szCs w:val="28"/>
          <w:highlight w:val="none"/>
          <w:lang w:val="en-US" w:eastAsia="zh-CN" w:bidi="ar-SA"/>
          <w14:textFill>
            <w14:solidFill>
              <w14:schemeClr w14:val="tx1"/>
            </w14:solidFill>
          </w14:textFill>
        </w:rPr>
        <w:t>2.本项目远程开标，投标人无需到现场参加开标活动，但应保持通信畅通；投标人提前熟悉交易系统（国企采购供应商操作手册网址：https://ggzyjy.weihai.cn/bszn/005005/20260109/eb4ba418-4b35-4f05-aa69-44fd7d8a7ffb.html），通过交易系统线上参加开标活动，不熟悉系统操作产生的风险由投标人承担。</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 xml:space="preserve">七、发布公告的媒介 </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本次公告在中国招标投标公共服务平台（网址：http://www.cebpubservice.com）、山东省采购与招标网（网址：http://www.sdbidding.org.cn/）</w:t>
      </w:r>
      <w:r>
        <w:rPr>
          <w:rFonts w:hint="eastAsia" w:ascii="仿宋" w:hAnsi="仿宋" w:eastAsia="仿宋" w:cs="仿宋"/>
          <w:color w:val="000000" w:themeColor="text1"/>
          <w:kern w:val="0"/>
          <w:sz w:val="28"/>
          <w:szCs w:val="28"/>
          <w:highlight w:val="none"/>
          <w:lang w:eastAsia="zh-CN"/>
          <w14:textFill>
            <w14:solidFill>
              <w14:schemeClr w14:val="tx1"/>
            </w14:solidFill>
          </w14:textFill>
        </w:rPr>
        <w:t>、</w:t>
      </w:r>
      <w:r>
        <w:rPr>
          <w:rFonts w:hint="eastAsia" w:ascii="仿宋" w:hAnsi="仿宋" w:eastAsia="仿宋" w:cs="仿宋"/>
          <w:color w:val="000000" w:themeColor="text1"/>
          <w:kern w:val="0"/>
          <w:sz w:val="28"/>
          <w:szCs w:val="28"/>
          <w:highlight w:val="none"/>
          <w14:textFill>
            <w14:solidFill>
              <w14:schemeClr w14:val="tx1"/>
            </w14:solidFill>
          </w14:textFill>
        </w:rPr>
        <w:t>威海市公共资源交易网（网址：http://ggzyjy.weihai.cn）发布，其</w:t>
      </w:r>
      <w:r>
        <w:rPr>
          <w:rFonts w:hint="eastAsia" w:ascii="仿宋" w:hAnsi="仿宋" w:eastAsia="仿宋" w:cs="仿宋"/>
          <w:color w:val="000000" w:themeColor="text1"/>
          <w:kern w:val="0"/>
          <w:sz w:val="28"/>
          <w:szCs w:val="28"/>
          <w:highlight w:val="none"/>
          <w:lang w:eastAsia="zh-CN"/>
          <w14:textFill>
            <w14:solidFill>
              <w14:schemeClr w14:val="tx1"/>
            </w14:solidFill>
          </w14:textFill>
        </w:rPr>
        <w:t>他</w:t>
      </w:r>
      <w:r>
        <w:rPr>
          <w:rFonts w:hint="eastAsia" w:ascii="仿宋" w:hAnsi="仿宋" w:eastAsia="仿宋" w:cs="仿宋"/>
          <w:color w:val="000000" w:themeColor="text1"/>
          <w:kern w:val="0"/>
          <w:sz w:val="28"/>
          <w:szCs w:val="28"/>
          <w:highlight w:val="none"/>
          <w14:textFill>
            <w14:solidFill>
              <w14:schemeClr w14:val="tx1"/>
            </w14:solidFill>
          </w14:textFill>
        </w:rPr>
        <w:t>媒介转发无效。</w:t>
      </w:r>
    </w:p>
    <w:p>
      <w:pPr>
        <w:pStyle w:val="28"/>
        <w:keepNext w:val="0"/>
        <w:keepLines w:val="0"/>
        <w:pageBreakBefore w:val="0"/>
        <w:kinsoku/>
        <w:wordWrap/>
        <w:overflowPunct/>
        <w:topLinePunct w:val="0"/>
        <w:autoSpaceDE/>
        <w:autoSpaceDN/>
        <w:bidi w:val="0"/>
        <w:adjustRightInd/>
        <w:snapToGrid/>
        <w:spacing w:before="0" w:beforeAutospacing="0" w:after="0" w:afterAutospacing="0" w:line="520" w:lineRule="exact"/>
        <w:ind w:firstLine="562" w:firstLineChars="200"/>
        <w:jc w:val="both"/>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八、对本次招标提出询问，请按以下方式联系</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1.招标人信息</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lang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名   </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称：</w:t>
      </w:r>
      <w:r>
        <w:rPr>
          <w:rFonts w:hint="eastAsia" w:ascii="仿宋" w:hAnsi="仿宋" w:eastAsia="仿宋" w:cs="仿宋"/>
          <w:color w:val="000000" w:themeColor="text1"/>
          <w:kern w:val="0"/>
          <w:sz w:val="28"/>
          <w:szCs w:val="28"/>
          <w:highlight w:val="none"/>
          <w:lang w:eastAsia="zh-CN"/>
          <w14:textFill>
            <w14:solidFill>
              <w14:schemeClr w14:val="tx1"/>
            </w14:solidFill>
          </w14:textFill>
        </w:rPr>
        <w:t>威海热电集团有限公司</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地   </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址：威海市古寨西路158号</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 系 人：</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戚伟</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联系方式：</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0631-3785040</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2.招标代理机构信息</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名   </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称：</w:t>
      </w:r>
      <w:r>
        <w:rPr>
          <w:rFonts w:hint="eastAsia" w:ascii="仿宋" w:hAnsi="仿宋" w:eastAsia="仿宋" w:cs="仿宋"/>
          <w:color w:val="000000" w:themeColor="text1"/>
          <w:kern w:val="0"/>
          <w:sz w:val="28"/>
          <w:szCs w:val="28"/>
          <w:highlight w:val="none"/>
          <w:lang w:eastAsia="zh-CN"/>
          <w14:textFill>
            <w14:solidFill>
              <w14:schemeClr w14:val="tx1"/>
            </w14:solidFill>
          </w14:textFill>
        </w:rPr>
        <w:t>威海正华工程咨询有限公司</w:t>
      </w:r>
      <w:r>
        <w:rPr>
          <w:rFonts w:hint="eastAsia" w:ascii="仿宋" w:hAnsi="仿宋" w:eastAsia="仿宋" w:cs="仿宋"/>
          <w:color w:val="000000" w:themeColor="text1"/>
          <w:kern w:val="0"/>
          <w:sz w:val="28"/>
          <w:szCs w:val="28"/>
          <w:highlight w:val="none"/>
          <w14:textFill>
            <w14:solidFill>
              <w14:schemeClr w14:val="tx1"/>
            </w14:solidFill>
          </w14:textFill>
        </w:rPr>
        <w:t xml:space="preserve"> </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地   </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址：</w:t>
      </w:r>
      <w:r>
        <w:rPr>
          <w:rFonts w:hint="eastAsia" w:ascii="仿宋" w:hAnsi="仿宋" w:eastAsia="仿宋" w:cs="仿宋"/>
          <w:color w:val="000000" w:themeColor="text1"/>
          <w:kern w:val="0"/>
          <w:sz w:val="28"/>
          <w:szCs w:val="28"/>
          <w:highlight w:val="none"/>
          <w:lang w:eastAsia="zh-CN"/>
          <w14:textFill>
            <w14:solidFill>
              <w14:schemeClr w14:val="tx1"/>
            </w14:solidFill>
          </w14:textFill>
        </w:rPr>
        <w:t>山东省威海市奈古山路古山五巷16号鼎顺商务9楼</w:t>
      </w:r>
      <w:r>
        <w:rPr>
          <w:rFonts w:hint="eastAsia" w:ascii="仿宋" w:hAnsi="仿宋" w:eastAsia="仿宋" w:cs="仿宋"/>
          <w:color w:val="000000" w:themeColor="text1"/>
          <w:kern w:val="0"/>
          <w:sz w:val="28"/>
          <w:szCs w:val="28"/>
          <w:highlight w:val="none"/>
          <w14:textFill>
            <w14:solidFill>
              <w14:schemeClr w14:val="tx1"/>
            </w14:solidFill>
          </w14:textFill>
        </w:rPr>
        <w:t xml:space="preserve">  </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 系 人：</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孙玉苹    宋修建</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lang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联系方式：</w:t>
      </w:r>
      <w:r>
        <w:rPr>
          <w:rFonts w:hint="eastAsia" w:ascii="仿宋" w:hAnsi="仿宋" w:eastAsia="仿宋" w:cs="仿宋"/>
          <w:color w:val="000000" w:themeColor="text1"/>
          <w:kern w:val="0"/>
          <w:sz w:val="28"/>
          <w:szCs w:val="28"/>
          <w:highlight w:val="none"/>
          <w:lang w:eastAsia="zh-CN"/>
          <w14:textFill>
            <w14:solidFill>
              <w14:schemeClr w14:val="tx1"/>
            </w14:solidFill>
          </w14:textFill>
        </w:rPr>
        <w:t>0631-5213959</w:t>
      </w:r>
    </w:p>
    <w:p>
      <w:pPr>
        <w:pStyle w:val="12"/>
        <w:keepNext w:val="0"/>
        <w:keepLines w:val="0"/>
        <w:pageBreakBefore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电子信箱：</w:t>
      </w:r>
      <w:r>
        <w:rPr>
          <w:rFonts w:hint="eastAsia" w:ascii="仿宋" w:hAnsi="仿宋" w:eastAsia="仿宋" w:cs="仿宋"/>
          <w:color w:val="000000" w:themeColor="text1"/>
          <w:kern w:val="0"/>
          <w:sz w:val="28"/>
          <w:szCs w:val="28"/>
          <w:highlight w:val="none"/>
          <w:lang w:eastAsia="zh-CN"/>
          <w14:textFill>
            <w14:solidFill>
              <w14:schemeClr w14:val="tx1"/>
            </w14:solidFill>
          </w14:textFill>
        </w:rPr>
        <w:t>whzhenghua@163.com</w:t>
      </w:r>
    </w:p>
    <w:p>
      <w:pPr>
        <w:rPr>
          <w:rFonts w:hint="eastAsia" w:ascii="仿宋" w:hAnsi="仿宋" w:eastAsia="仿宋" w:cs="仿宋"/>
          <w:color w:val="000000" w:themeColor="text1"/>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keepNext w:val="0"/>
        <w:keepLines w:val="0"/>
        <w:pageBreakBefore/>
        <w:widowControl/>
        <w:numPr>
          <w:ilvl w:val="0"/>
          <w:numId w:val="2"/>
        </w:numPr>
        <w:kinsoku/>
        <w:wordWrap/>
        <w:overflowPunct/>
        <w:topLinePunct w:val="0"/>
        <w:autoSpaceDE/>
        <w:autoSpaceDN/>
        <w:bidi w:val="0"/>
        <w:adjustRightInd/>
        <w:snapToGrid/>
        <w:ind w:firstLine="2209" w:firstLineChars="500"/>
        <w:jc w:val="left"/>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bookmarkStart w:id="15" w:name="_Toc29380"/>
      <w:r>
        <w:rPr>
          <w:rFonts w:hint="eastAsia" w:ascii="仿宋" w:hAnsi="仿宋" w:eastAsia="仿宋" w:cs="仿宋"/>
          <w:b/>
          <w:bCs/>
          <w:color w:val="000000" w:themeColor="text1"/>
          <w:sz w:val="44"/>
          <w:szCs w:val="44"/>
          <w:highlight w:val="none"/>
          <w14:textFill>
            <w14:solidFill>
              <w14:schemeClr w14:val="tx1"/>
            </w14:solidFill>
          </w14:textFill>
        </w:rPr>
        <w:t>投标人须知</w:t>
      </w:r>
      <w:bookmarkEnd w:id="15"/>
    </w:p>
    <w:p>
      <w:pPr>
        <w:jc w:val="both"/>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32"/>
        <w:tblW w:w="10043"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143"/>
        <w:gridCol w:w="2191"/>
        <w:gridCol w:w="670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    目</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6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招标编号</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2026-025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88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    址：威海市古寨西路158号</w:t>
            </w:r>
          </w:p>
          <w:p>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kern w:val="0"/>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 系 人：</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戚伟</w:t>
            </w:r>
          </w:p>
          <w:p>
            <w:pPr>
              <w:pStyle w:val="1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联系方式：</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 xml:space="preserve">0631-3785040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903"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机构名称：</w:t>
            </w:r>
            <w:r>
              <w:rPr>
                <w:rFonts w:hint="eastAsia" w:ascii="仿宋" w:hAnsi="仿宋" w:eastAsia="仿宋" w:cs="仿宋"/>
                <w:color w:val="000000" w:themeColor="text1"/>
                <w:sz w:val="28"/>
                <w:szCs w:val="28"/>
                <w:highlight w:val="none"/>
                <w:lang w:eastAsia="zh-CN"/>
                <w14:textFill>
                  <w14:solidFill>
                    <w14:schemeClr w14:val="tx1"/>
                  </w14:solidFill>
                </w14:textFill>
              </w:rPr>
              <w:t>威海正华工程咨询有限公司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单位地址：</w:t>
            </w:r>
            <w:r>
              <w:rPr>
                <w:rFonts w:hint="eastAsia" w:ascii="仿宋" w:hAnsi="仿宋" w:eastAsia="仿宋" w:cs="仿宋"/>
                <w:color w:val="000000" w:themeColor="text1"/>
                <w:sz w:val="28"/>
                <w:szCs w:val="28"/>
                <w:highlight w:val="none"/>
                <w:lang w:eastAsia="zh-CN"/>
                <w14:textFill>
                  <w14:solidFill>
                    <w14:schemeClr w14:val="tx1"/>
                  </w14:solidFill>
                </w14:textFill>
              </w:rPr>
              <w:t>山东省威海市奈古山路古山五巷16号鼎顺商务9楼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 系 人：</w:t>
            </w:r>
            <w:r>
              <w:rPr>
                <w:rFonts w:hint="eastAsia" w:ascii="仿宋" w:hAnsi="仿宋" w:eastAsia="仿宋" w:cs="仿宋"/>
                <w:color w:val="000000" w:themeColor="text1"/>
                <w:kern w:val="0"/>
                <w:sz w:val="28"/>
                <w:szCs w:val="28"/>
                <w:highlight w:val="none"/>
                <w:lang w:val="en-US" w:eastAsia="zh-CN"/>
                <w14:textFill>
                  <w14:solidFill>
                    <w14:schemeClr w14:val="tx1"/>
                  </w14:solidFill>
                </w14:textFill>
              </w:rPr>
              <w:t>孙玉苹    宋修建</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w:t>
            </w:r>
            <w:r>
              <w:rPr>
                <w:rFonts w:hint="eastAsia" w:ascii="仿宋" w:hAnsi="仿宋" w:eastAsia="仿宋" w:cs="仿宋"/>
                <w:color w:val="000000" w:themeColor="text1"/>
                <w:sz w:val="28"/>
                <w:szCs w:val="28"/>
                <w:highlight w:val="none"/>
                <w:lang w:val="en-US" w:eastAsia="zh-CN"/>
                <w14:textFill>
                  <w14:solidFill>
                    <w14:schemeClr w14:val="tx1"/>
                  </w14:solidFill>
                </w14:textFill>
              </w:rPr>
              <w:t>方式</w:t>
            </w: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kern w:val="0"/>
                <w:sz w:val="28"/>
                <w:szCs w:val="28"/>
                <w:highlight w:val="none"/>
                <w:lang w:eastAsia="zh-CN"/>
                <w14:textFill>
                  <w14:solidFill>
                    <w14:schemeClr w14:val="tx1"/>
                  </w14:solidFill>
                </w14:textFill>
              </w:rPr>
              <w:t>0631-5213959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本项目为</w:t>
            </w:r>
            <w:r>
              <w:rPr>
                <w:rFonts w:hint="eastAsia" w:ascii="仿宋" w:hAnsi="仿宋" w:eastAsia="仿宋" w:cs="仿宋"/>
                <w:color w:val="000000" w:themeColor="text1"/>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r>
              <w:rPr>
                <w:rFonts w:hint="eastAsia" w:ascii="仿宋" w:hAnsi="仿宋" w:eastAsia="仿宋" w:cs="仿宋"/>
                <w:color w:val="000000" w:themeColor="text1"/>
                <w:sz w:val="28"/>
                <w:szCs w:val="28"/>
                <w:highlight w:val="none"/>
                <w:lang w:val="en-US" w:eastAsia="zh-CN"/>
                <w14:textFill>
                  <w14:solidFill>
                    <w14:schemeClr w14:val="tx1"/>
                  </w14:solidFill>
                </w14:textFill>
              </w:rPr>
              <w:t>具体内容详见招标文件</w:t>
            </w:r>
            <w:r>
              <w:rPr>
                <w:rFonts w:hint="eastAsia" w:ascii="仿宋" w:hAnsi="仿宋" w:eastAsia="仿宋" w:cs="仿宋"/>
                <w:color w:val="000000" w:themeColor="text1"/>
                <w:sz w:val="28"/>
                <w:szCs w:val="28"/>
                <w:highlight w:val="none"/>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2"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自筹资金100%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7"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采购文件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响应）文件。</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default" w:ascii="仿宋" w:hAnsi="仿宋" w:eastAsia="仿宋" w:cs="仿宋"/>
                <w:color w:val="000000" w:themeColor="text1"/>
                <w:sz w:val="28"/>
                <w:szCs w:val="28"/>
                <w:highlight w:val="none"/>
                <w:lang w:val="en-US" w:eastAsia="zh-CN"/>
                <w14:textFill>
                  <w14:solidFill>
                    <w14:schemeClr w14:val="tx1"/>
                  </w14:solidFill>
                </w14:textFill>
              </w:rPr>
              <w:t>国企采购技术支持电话：17863029936，国企采购技术支持QQ群（报价单位）：1046971257。</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3.国企采购报价单位操作手册网址：</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"https://ggzyjy.weihai.cn/bszn/005005/20260109/eb4ba418-4b35-4f05-aa69-44fd7d8a7ffb.html"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https://ggzyjy.weihai.cn/bszn/005005/20260109/eb4ba418-4b35-4f05-aa69-44fd7d8a7ffb.html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4.响应文件递交地点：登录“威海市公共资源交易网”首页右侧“交易服务一网通办系统-（新版）一网通办系统”进行“平台切换”，点击“国企采购”进入国企阳光采购平台进行提交。</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5.电子投标特别提示中个别条款：</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①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②电子响应文件的制作及提交等有关操作见本文件及威海市公共资源交易网）办事指南栏目－国企采购专区－《新版威海市国有企业阳光采购服务平台操作演示视频（供应商）》，网址： </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begin"/>
            </w:r>
            <w:r>
              <w:rPr>
                <w:rFonts w:hint="eastAsia" w:ascii="仿宋" w:hAnsi="仿宋" w:eastAsia="仿宋" w:cs="仿宋"/>
                <w:color w:val="000000" w:themeColor="text1"/>
                <w:sz w:val="28"/>
                <w:szCs w:val="28"/>
                <w:highlight w:val="none"/>
                <w:lang w:val="en-US" w:eastAsia="zh-CN"/>
                <w14:textFill>
                  <w14:solidFill>
                    <w14:schemeClr w14:val="tx1"/>
                  </w14:solidFill>
                </w14:textFill>
              </w:rPr>
              <w:instrText xml:space="preserve"> HYPERLINK "https://ggzyjy.weihai.cn/bszn/005005/20260109/315a049e-0d75-4f85-8634-00d90a843936.html" </w:instrTex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separate"/>
            </w:r>
            <w:r>
              <w:rPr>
                <w:rFonts w:hint="eastAsia" w:ascii="仿宋" w:hAnsi="仿宋" w:eastAsia="仿宋" w:cs="仿宋"/>
                <w:color w:val="000000" w:themeColor="text1"/>
                <w:sz w:val="28"/>
                <w:szCs w:val="28"/>
                <w:highlight w:val="none"/>
                <w:lang w:val="en-US" w:eastAsia="zh-CN"/>
                <w14:textFill>
                  <w14:solidFill>
                    <w14:schemeClr w14:val="tx1"/>
                  </w14:solidFill>
                </w14:textFill>
              </w:rPr>
              <w:t>https://ggzyjy.weihai.cn/bszn/005005/20260109/315a049e-0d75-4f85-8634-00d90a843936.html</w:t>
            </w:r>
            <w:r>
              <w:rPr>
                <w:rFonts w:hint="eastAsia" w:ascii="仿宋" w:hAnsi="仿宋" w:eastAsia="仿宋" w:cs="仿宋"/>
                <w:color w:val="000000" w:themeColor="text1"/>
                <w:sz w:val="28"/>
                <w:szCs w:val="28"/>
                <w:highlight w:val="none"/>
                <w:lang w:val="en-US" w:eastAsia="zh-CN"/>
                <w14:textFill>
                  <w14:solidFill>
                    <w14:schemeClr w14:val="tx1"/>
                  </w14:solidFill>
                </w14:textFill>
              </w:rPr>
              <w:fldChar w:fldCharType="end"/>
            </w:r>
            <w:r>
              <w:rPr>
                <w:rFonts w:hint="eastAsia" w:ascii="仿宋" w:hAnsi="仿宋" w:eastAsia="仿宋" w:cs="仿宋"/>
                <w:color w:val="000000" w:themeColor="text1"/>
                <w:sz w:val="28"/>
                <w:szCs w:val="28"/>
                <w:highlight w:val="none"/>
                <w:lang w:val="en-US" w:eastAsia="zh-CN"/>
                <w14:textFill>
                  <w14:solidFill>
                    <w14:schemeClr w14:val="tx1"/>
                  </w14:solidFill>
                </w14:textFill>
              </w:rPr>
              <w:t>。响应文件制作及系统使用咨询电话：17863029936 ；QQ服务群：1046971257。</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③网上提交响应文件时，登录交易平台的电脑须满足环境要求（详见新版威海市国有企业阳光采购服务平台供应商用户手册https://ggzyjy.weihai.cn/bszn/005005/20260109/eb4ba418-4b35-4f05-aa69-44fd7d8a7ffb.html）。</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.报价投标人提交的电子投标文件应按照本招标文件《第五部分 投标（响应）文件格式》进行编制，数据文件（excel格式）必须从本项目的招标文件压缩包内的对应包段目录下获取，且必须在原文件上严格按照其要求填写。因投标人自身原因导致电子投标文件编制不规范使投标文件内容无法导入系统的，该投标文件将被视为无效投标（响应）文件。</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电子投标文件必须有电子签章方为合法的投标文件，未对电子投标文件进行电子签章的，将作为无效投标（响应）处理。电子投标文件的电子签章要求：在生成电子投标文件pdf格式时，必须对电子投标文件进行电子签章；签章时需要将电子签章签署到相应的位置中。</w:t>
            </w: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560" w:lineRule="exact"/>
              <w:ind w:left="0"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.投标人投标文件中的相关扫描件应保证清晰度，无法辨认的评审时受到影响的，由投标人承担相应责任。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.投标人应充分考虑网上递交投标文件会发生的故障和风险。对发生的任何故障和风险造成投标人报价内容不一致或利益受损或响应失败的，招标人及招标代理公司不承担任何责任。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0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文件原件</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投标文件份数</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both"/>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网上按时递交电子投标文件1份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实物样品</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69"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top"/>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19"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现场演示</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无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57"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递交时间</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电子投标文件递交截止时间：以公告载明的时间为准</w:t>
            </w:r>
            <w:r>
              <w:rPr>
                <w:rFonts w:hint="eastAsia" w:ascii="仿宋" w:hAnsi="仿宋" w:eastAsia="仿宋" w:cs="仿宋"/>
                <w:color w:val="000000" w:themeColor="text1"/>
                <w:spacing w:val="8"/>
                <w:kern w:val="0"/>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（以电子交易系统具体显示时间为准）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14"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开标时间</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以公告载明的时间为准。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57"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开标地点</w:t>
            </w:r>
          </w:p>
        </w:tc>
        <w:tc>
          <w:tcPr>
            <w:tcW w:w="6709" w:type="dxa"/>
            <w:tcBorders>
              <w:top w:val="single" w:color="auto" w:sz="4" w:space="0"/>
              <w:left w:val="single" w:color="auto" w:sz="4" w:space="0"/>
              <w:bottom w:val="single" w:color="auto" w:sz="4" w:space="0"/>
            </w:tcBorders>
            <w:vAlign w:val="center"/>
          </w:tcPr>
          <w:p>
            <w:pPr>
              <w:pStyle w:val="28"/>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以公告载明的地点为准。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3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远程开标，投标人无需到现场参与开标，但开评标期间需实时关注交易系统相关通知，且被授权人的联络方式应保持畅通。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57"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签到解密程序</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签到时间：开标时间前30分钟内完成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4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评标办法</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2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联合体投标</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不</w:t>
            </w:r>
            <w:r>
              <w:rPr>
                <w:rFonts w:hint="eastAsia" w:ascii="仿宋" w:hAnsi="仿宋" w:eastAsia="仿宋" w:cs="仿宋"/>
                <w:color w:val="000000" w:themeColor="text1"/>
                <w:sz w:val="28"/>
                <w:szCs w:val="28"/>
                <w:highlight w:val="none"/>
                <w14:textFill>
                  <w14:solidFill>
                    <w14:schemeClr w14:val="tx1"/>
                  </w14:solidFill>
                </w14:textFill>
              </w:rPr>
              <w:t>接受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投标保证金</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.投标保证金</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人民币</w:t>
            </w:r>
            <w:r>
              <w:rPr>
                <w:rFonts w:hint="eastAsia" w:ascii="仿宋" w:hAnsi="仿宋" w:eastAsia="仿宋" w:cs="仿宋"/>
                <w:color w:val="000000" w:themeColor="text1"/>
                <w:sz w:val="28"/>
                <w:szCs w:val="28"/>
                <w:highlight w:val="none"/>
                <w:lang w:val="en-US" w:eastAsia="zh-CN"/>
                <w14:textFill>
                  <w14:solidFill>
                    <w14:schemeClr w14:val="tx1"/>
                  </w14:solidFill>
                </w14:textFill>
              </w:rPr>
              <w:t>贰万元</w:t>
            </w:r>
            <w:r>
              <w:rPr>
                <w:rFonts w:hint="eastAsia" w:ascii="仿宋" w:hAnsi="仿宋" w:eastAsia="仿宋" w:cs="仿宋"/>
                <w:color w:val="000000" w:themeColor="text1"/>
                <w:sz w:val="28"/>
                <w:szCs w:val="28"/>
                <w:highlight w:val="none"/>
                <w14:textFill>
                  <w14:solidFill>
                    <w14:schemeClr w14:val="tx1"/>
                  </w14:solidFill>
                </w14:textFill>
              </w:rPr>
              <w:t>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2</w:t>
            </w:r>
            <w:r>
              <w:rPr>
                <w:rFonts w:hint="eastAsia" w:ascii="仿宋" w:hAnsi="仿宋" w:eastAsia="仿宋" w:cs="仿宋"/>
                <w:b/>
                <w:bCs/>
                <w:color w:val="000000" w:themeColor="text1"/>
                <w:sz w:val="28"/>
                <w:szCs w:val="28"/>
                <w:highlight w:val="none"/>
                <w14:textFill>
                  <w14:solidFill>
                    <w14:schemeClr w14:val="tx1"/>
                  </w14:solidFill>
                </w14:textFill>
              </w:rPr>
              <w:t>.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.为确保投标工作有序进行，投标保证金应当在递交投标文件截止时间前（以到账时间为准）到达</w:t>
            </w:r>
            <w:r>
              <w:rPr>
                <w:rFonts w:hint="eastAsia" w:ascii="仿宋" w:hAnsi="仿宋" w:eastAsia="仿宋" w:cs="仿宋"/>
                <w:b/>
                <w:bCs/>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账户，以网银、电汇等方式一次性足额交纳保证金，不接受支付宝等第三方平台转账。禁止第三方代交。投标保证金交纳单位应与递交响应文件的投标人名称一致。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5</w:t>
            </w:r>
            <w:r>
              <w:rPr>
                <w:rFonts w:hint="eastAsia" w:ascii="仿宋" w:hAnsi="仿宋" w:eastAsia="仿宋" w:cs="仿宋"/>
                <w:b/>
                <w:bCs/>
                <w:color w:val="000000" w:themeColor="text1"/>
                <w:sz w:val="28"/>
                <w:szCs w:val="28"/>
                <w:highlight w:val="none"/>
                <w14:textFill>
                  <w14:solidFill>
                    <w14:schemeClr w14:val="tx1"/>
                  </w14:solidFill>
                </w14:textFill>
              </w:rPr>
              <w:t>.退还保证金：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55"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付款方式</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suppressLineNumbers w:val="0"/>
              <w:kinsoku/>
              <w:wordWrap w:val="0"/>
              <w:overflowPunct/>
              <w:topLinePunct w:val="0"/>
              <w:autoSpaceDE/>
              <w:autoSpaceDN/>
              <w:bidi w:val="0"/>
              <w:adjustRightInd/>
              <w:spacing w:before="0" w:beforeAutospacing="0" w:after="0" w:afterAutospacing="0" w:line="560" w:lineRule="exact"/>
              <w:ind w:left="0" w:right="0"/>
              <w:jc w:val="left"/>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宋体"/>
                <w:color w:val="000000" w:themeColor="text1"/>
                <w:kern w:val="0"/>
                <w:sz w:val="28"/>
                <w:szCs w:val="28"/>
                <w:highlight w:val="none"/>
                <w:lang w:eastAsia="zh-CN" w:bidi="ar"/>
                <w14:textFill>
                  <w14:solidFill>
                    <w14:schemeClr w14:val="tx1"/>
                  </w14:solidFill>
                </w14:textFill>
              </w:rPr>
              <w:t>货物经甲方验收合格后，甲方付给乙方40%货款，安装调试一个月后无质量问题乙方开具税率为13%的全额增值税专用发票，甲方付给乙方50%货款，剩余合同总价的10%作为质保金，在质保期届满，甲方应组织相关人员对乙方在质保期内的维保工作进行评估，若确认乙方已完全履行维保义务，甲方应将余款付清，因乙方发票提供不及时造成的付款延迟等一切损失由乙方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30"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26</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最高限价</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最高限价为2056250.00元。</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auto"/>
                <w:sz w:val="28"/>
                <w:szCs w:val="28"/>
                <w:highlight w:val="none"/>
                <w:lang w:val="en-US" w:eastAsia="zh-CN"/>
              </w:rPr>
              <w:t>投标报价不得超过最高限价，否则否决其投标。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8"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27</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本项目按</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货物类</w:t>
            </w:r>
            <w:r>
              <w:rPr>
                <w:rFonts w:hint="eastAsia" w:ascii="仿宋" w:hAnsi="仿宋" w:eastAsia="仿宋" w:cs="仿宋"/>
                <w:color w:val="000000" w:themeColor="text1"/>
                <w:sz w:val="28"/>
                <w:szCs w:val="28"/>
                <w:highlight w:val="none"/>
                <w14:textFill>
                  <w14:solidFill>
                    <w14:schemeClr w14:val="tx1"/>
                  </w14:solidFill>
                </w14:textFill>
              </w:rPr>
              <w:t>以公开招标方式实施采购。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本文件要求提供的信用查询情况截图（包括“未被最高人民法院列入失信被执行人”以及“‘信用中国’或‘信用中国（山东）’无严重失信记录”），若投标文件提供的截图有少许缺漏或者瑕疵，可由代理机构或评委现场查询，以现场查询结果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52" w:hRule="atLeast"/>
          <w:jc w:val="center"/>
        </w:trPr>
        <w:tc>
          <w:tcPr>
            <w:tcW w:w="1143"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28</w:t>
            </w:r>
          </w:p>
        </w:tc>
        <w:tc>
          <w:tcPr>
            <w:tcW w:w="21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6709"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以</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金额为基数，按照山东省招标投标协会鲁招协</w:t>
            </w:r>
            <w:r>
              <w:rPr>
                <w:rFonts w:hint="eastAsia" w:ascii="仿宋" w:hAnsi="仿宋" w:eastAsia="仿宋" w:cs="仿宋"/>
                <w:color w:val="000000" w:themeColor="text1"/>
                <w:sz w:val="28"/>
                <w:szCs w:val="28"/>
                <w:highlight w:val="none"/>
                <w:lang w:eastAsia="zh-CN"/>
                <w14:textFill>
                  <w14:solidFill>
                    <w14:schemeClr w14:val="tx1"/>
                  </w14:solidFill>
                </w14:textFill>
              </w:rPr>
              <w:t>〔2024〕13号</w:t>
            </w:r>
            <w:r>
              <w:rPr>
                <w:rFonts w:hint="eastAsia" w:ascii="仿宋" w:hAnsi="仿宋" w:eastAsia="仿宋" w:cs="仿宋"/>
                <w:color w:val="000000" w:themeColor="text1"/>
                <w:sz w:val="28"/>
                <w:szCs w:val="28"/>
                <w:highlight w:val="none"/>
                <w14:textFill>
                  <w14:solidFill>
                    <w14:schemeClr w14:val="tx1"/>
                  </w14:solidFill>
                </w14:textFill>
              </w:rPr>
              <w:t>文规定标准的60%收取，由</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中标人</w:t>
            </w:r>
            <w:r>
              <w:rPr>
                <w:rFonts w:hint="eastAsia" w:ascii="仿宋" w:hAnsi="仿宋" w:eastAsia="仿宋" w:cs="仿宋"/>
                <w:color w:val="000000" w:themeColor="text1"/>
                <w:sz w:val="28"/>
                <w:szCs w:val="28"/>
                <w:highlight w:val="none"/>
                <w14:textFill>
                  <w14:solidFill>
                    <w14:schemeClr w14:val="tx1"/>
                  </w14:solidFill>
                </w14:textFill>
              </w:rPr>
              <w:t>在收到</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通知书的同时向</w:t>
            </w:r>
            <w:r>
              <w:rPr>
                <w:rFonts w:hint="eastAsia" w:ascii="仿宋" w:hAnsi="仿宋" w:eastAsia="仿宋" w:cs="仿宋"/>
                <w:color w:val="000000" w:themeColor="text1"/>
                <w:sz w:val="28"/>
                <w:szCs w:val="28"/>
                <w:highlight w:val="none"/>
                <w:lang w:val="en-US" w:eastAsia="zh-CN"/>
                <w14:textFill>
                  <w14:solidFill>
                    <w14:schemeClr w14:val="tx1"/>
                  </w14:solidFill>
                </w14:textFill>
              </w:rPr>
              <w:t>代理</w:t>
            </w:r>
            <w:r>
              <w:rPr>
                <w:rFonts w:hint="eastAsia" w:ascii="仿宋" w:hAnsi="仿宋" w:eastAsia="仿宋" w:cs="仿宋"/>
                <w:color w:val="000000" w:themeColor="text1"/>
                <w:sz w:val="28"/>
                <w:szCs w:val="28"/>
                <w:highlight w:val="none"/>
                <w14:textFill>
                  <w14:solidFill>
                    <w14:schemeClr w14:val="tx1"/>
                  </w14:solidFill>
                </w14:textFill>
              </w:rPr>
              <w:t>公司全额交纳。</w:t>
            </w:r>
          </w:p>
        </w:tc>
      </w:tr>
    </w:tbl>
    <w:p>
      <w:pPr>
        <w:keepNext w:val="0"/>
        <w:keepLines w:val="0"/>
        <w:pageBreakBefore/>
        <w:widowControl w:val="0"/>
        <w:kinsoku/>
        <w:wordWrap/>
        <w:overflowPunct/>
        <w:topLinePunct w:val="0"/>
        <w:autoSpaceDE/>
        <w:autoSpaceDN/>
        <w:bidi w:val="0"/>
        <w:adjustRightInd/>
        <w:snapToGrid/>
        <w:spacing w:line="440" w:lineRule="exact"/>
        <w:ind w:firstLine="2240" w:firstLineChars="70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《实质性条款一览表》</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w:t>
      </w:r>
      <w:bookmarkStart w:id="66" w:name="_GoBack"/>
      <w:bookmarkEnd w:id="66"/>
      <w:r>
        <w:rPr>
          <w:rFonts w:hint="eastAsia" w:ascii="仿宋" w:hAnsi="仿宋" w:eastAsia="仿宋" w:cs="仿宋"/>
          <w:color w:val="000000" w:themeColor="text1"/>
          <w:sz w:val="28"/>
          <w:szCs w:val="28"/>
          <w:highlight w:val="none"/>
          <w14:textFill>
            <w14:solidFill>
              <w14:schemeClr w14:val="tx1"/>
            </w14:solidFill>
          </w14:textFill>
        </w:rPr>
        <w:t>明：本表系招标文件及修改性文件中涉及的所有实质性条款的汇总。</w:t>
      </w:r>
    </w:p>
    <w:tbl>
      <w:tblPr>
        <w:tblStyle w:val="32"/>
        <w:tblpPr w:leftFromText="180" w:rightFromText="180" w:vertAnchor="text" w:horzAnchor="page" w:tblpX="1300" w:tblpY="601"/>
        <w:tblOverlap w:val="never"/>
        <w:tblW w:w="994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1"/>
        <w:gridCol w:w="2206"/>
        <w:gridCol w:w="664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35" w:hRule="atLeast"/>
        </w:trPr>
        <w:tc>
          <w:tcPr>
            <w:tcW w:w="1091"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6644"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750" w:hRule="atLeast"/>
        </w:trPr>
        <w:tc>
          <w:tcPr>
            <w:tcW w:w="1091"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2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资格性核查</w:t>
            </w:r>
          </w:p>
        </w:tc>
        <w:tc>
          <w:tcPr>
            <w:tcW w:w="6644" w:type="dxa"/>
            <w:tcBorders>
              <w:top w:val="single" w:color="auto" w:sz="4" w:space="0"/>
              <w:left w:val="single" w:color="auto" w:sz="4" w:space="0"/>
              <w:bottom w:val="single" w:color="auto" w:sz="4" w:space="0"/>
            </w:tcBorders>
            <w:vAlign w:val="center"/>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right="0" w:rightChars="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投标</w:t>
            </w:r>
            <w:r>
              <w:rPr>
                <w:rFonts w:hint="eastAsia" w:ascii="仿宋" w:hAnsi="仿宋" w:eastAsia="仿宋" w:cs="仿宋"/>
                <w:color w:val="000000" w:themeColor="text1"/>
                <w:sz w:val="28"/>
                <w:szCs w:val="28"/>
                <w:highlight w:val="none"/>
                <w:lang w:val="en-US" w:eastAsia="zh-CN"/>
                <w14:textFill>
                  <w14:solidFill>
                    <w14:schemeClr w14:val="tx1"/>
                  </w14:solidFill>
                </w14:textFill>
              </w:rPr>
              <w:t>人</w:t>
            </w:r>
            <w:r>
              <w:rPr>
                <w:rFonts w:hint="eastAsia" w:ascii="仿宋" w:hAnsi="仿宋" w:eastAsia="仿宋" w:cs="仿宋"/>
                <w:color w:val="000000" w:themeColor="text1"/>
                <w:sz w:val="28"/>
                <w:szCs w:val="28"/>
                <w:highlight w:val="none"/>
                <w14:textFill>
                  <w14:solidFill>
                    <w14:schemeClr w14:val="tx1"/>
                  </w14:solidFill>
                </w14:textFill>
              </w:rPr>
              <w:t>营业执照副本扫描件；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若法定代表人参加投标，投标文件附法定代表人资格证明书及法人身份证扫描件；若授权代表参加投标，投标文件除上述规定外还需附法人授权委托书及被授权人身份证扫描件</w:t>
            </w:r>
            <w:r>
              <w:rPr>
                <w:rFonts w:hint="eastAsia" w:ascii="仿宋" w:hAnsi="仿宋" w:eastAsia="仿宋" w:cs="仿宋"/>
                <w:color w:val="000000" w:themeColor="text1"/>
                <w:sz w:val="28"/>
                <w:szCs w:val="28"/>
                <w:highlight w:val="none"/>
                <w:lang w:val="en-US" w:eastAsia="zh-CN"/>
                <w14:textFill>
                  <w14:solidFill>
                    <w14:schemeClr w14:val="tx1"/>
                  </w14:solidFill>
                </w14:textFill>
              </w:rPr>
              <w:t>及被授权人在本公司的近一个月</w:t>
            </w:r>
            <w:r>
              <w:rPr>
                <w:rFonts w:hint="eastAsia" w:ascii="仿宋" w:hAnsi="仿宋" w:eastAsia="仿宋" w:cs="仿宋"/>
                <w:color w:val="auto"/>
                <w:sz w:val="28"/>
                <w:szCs w:val="28"/>
                <w:highlight w:val="none"/>
                <w:lang w:val="en-US" w:eastAsia="zh-CN"/>
              </w:rPr>
              <w:t>（2026年4月或5月）</w:t>
            </w:r>
            <w:r>
              <w:rPr>
                <w:rFonts w:hint="eastAsia" w:ascii="仿宋" w:hAnsi="仿宋" w:eastAsia="仿宋" w:cs="仿宋"/>
                <w:color w:val="000000" w:themeColor="text1"/>
                <w:sz w:val="28"/>
                <w:szCs w:val="28"/>
                <w:highlight w:val="none"/>
                <w:lang w:val="en-US" w:eastAsia="zh-CN"/>
                <w14:textFill>
                  <w14:solidFill>
                    <w14:schemeClr w14:val="tx1"/>
                  </w14:solidFill>
                </w14:textFill>
              </w:rPr>
              <w:t>社保证明材料</w:t>
            </w:r>
            <w:r>
              <w:rPr>
                <w:rFonts w:hint="eastAsia" w:ascii="仿宋" w:hAnsi="仿宋" w:eastAsia="仿宋" w:cs="仿宋"/>
                <w:color w:val="000000" w:themeColor="text1"/>
                <w:sz w:val="28"/>
                <w:szCs w:val="28"/>
                <w:highlight w:val="none"/>
                <w14:textFill>
                  <w14:solidFill>
                    <w14:schemeClr w14:val="tx1"/>
                  </w14:solidFill>
                </w14:textFill>
              </w:rPr>
              <w:t>；</w:t>
            </w:r>
          </w:p>
          <w:p>
            <w:pPr>
              <w:pStyle w:val="28"/>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pP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3.投标人及其法定代表人、委托代理人未被最高法院列入失信被执行人情况查询截图；</w:t>
            </w:r>
          </w:p>
          <w:p>
            <w:pPr>
              <w:pStyle w:val="28"/>
              <w:keepNext w:val="0"/>
              <w:keepLines w:val="0"/>
              <w:pageBreakBefore w:val="0"/>
              <w:suppressLineNumbers w:val="0"/>
              <w:kinsoku/>
              <w:wordWrap/>
              <w:overflowPunct/>
              <w:topLinePunct w:val="0"/>
              <w:autoSpaceDE/>
              <w:autoSpaceDN/>
              <w:bidi w:val="0"/>
              <w:adjustRightInd/>
              <w:snapToGrid/>
              <w:spacing w:before="0" w:beforeAutospacing="0" w:after="0" w:afterAutospacing="0" w:line="560" w:lineRule="exact"/>
              <w:ind w:left="0" w:right="0"/>
              <w:jc w:val="both"/>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4.投标人</w:t>
            </w:r>
            <w:r>
              <w:rPr>
                <w:rFonts w:hint="eastAsia" w:ascii="仿宋" w:hAnsi="仿宋" w:eastAsia="仿宋" w:cs="仿宋"/>
                <w:color w:val="000000" w:themeColor="text1"/>
                <w:sz w:val="28"/>
                <w:szCs w:val="28"/>
                <w:highlight w:val="none"/>
                <w14:textFill>
                  <w14:solidFill>
                    <w14:schemeClr w14:val="tx1"/>
                  </w14:solidFill>
                </w14:textFill>
              </w:rPr>
              <w:t>近一年在“信用中国”或“信用中国（山东）”无严重失信记录</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附</w:t>
            </w:r>
            <w:r>
              <w:rPr>
                <w:rFonts w:hint="eastAsia" w:ascii="仿宋" w:hAnsi="仿宋" w:eastAsia="仿宋" w:cs="仿宋"/>
                <w:color w:val="000000" w:themeColor="text1"/>
                <w:sz w:val="28"/>
                <w:szCs w:val="28"/>
                <w:highlight w:val="none"/>
                <w:lang w:val="en-US"/>
                <w14:textFill>
                  <w14:solidFill>
                    <w14:schemeClr w14:val="tx1"/>
                  </w14:solidFill>
                </w14:textFill>
              </w:rPr>
              <w:t>信用中国或信用中国（山东）查询的信用报告</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投标人参与投标的声明函</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6.投标人</w:t>
            </w:r>
            <w:r>
              <w:rPr>
                <w:rFonts w:hint="eastAsia" w:ascii="仿宋" w:hAnsi="仿宋" w:eastAsia="仿宋" w:cs="仿宋"/>
                <w:color w:val="000000" w:themeColor="text1"/>
                <w:sz w:val="28"/>
                <w:szCs w:val="28"/>
                <w:highlight w:val="none"/>
                <w14:textFill>
                  <w14:solidFill>
                    <w14:schemeClr w14:val="tx1"/>
                  </w14:solidFill>
                </w14:textFill>
              </w:rPr>
              <w:t>信用承诺书</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lang w:val="en-US"/>
              </w:rPr>
              <w:t>人廉洁守信承诺书</w:t>
            </w:r>
            <w:r>
              <w:rPr>
                <w:rFonts w:hint="eastAsia" w:ascii="仿宋" w:hAnsi="仿宋" w:eastAsia="仿宋" w:cs="仿宋"/>
                <w:color w:val="auto"/>
                <w:sz w:val="28"/>
                <w:szCs w:val="28"/>
                <w:highlight w:val="none"/>
                <w:lang w:val="en-US" w:eastAsia="zh-CN"/>
              </w:rPr>
              <w:t>、关于关联单位的</w:t>
            </w:r>
            <w:r>
              <w:rPr>
                <w:rFonts w:hint="eastAsia" w:ascii="仿宋" w:hAnsi="仿宋" w:eastAsia="仿宋" w:cs="仿宋"/>
                <w:color w:val="auto"/>
                <w:sz w:val="28"/>
                <w:szCs w:val="28"/>
                <w:highlight w:val="none"/>
                <w:lang w:val="en-US"/>
              </w:rPr>
              <w:t>声明函</w:t>
            </w:r>
            <w:r>
              <w:rPr>
                <w:rFonts w:hint="eastAsia" w:ascii="仿宋" w:hAnsi="仿宋" w:eastAsia="仿宋" w:cs="仿宋"/>
                <w:color w:val="auto"/>
                <w:sz w:val="28"/>
                <w:szCs w:val="28"/>
                <w:highlight w:val="none"/>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85" w:hRule="atLeast"/>
        </w:trPr>
        <w:tc>
          <w:tcPr>
            <w:tcW w:w="1091" w:type="dxa"/>
            <w:tcBorders>
              <w:top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20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符合性检查</w:t>
            </w:r>
          </w:p>
        </w:tc>
        <w:tc>
          <w:tcPr>
            <w:tcW w:w="6644" w:type="dxa"/>
            <w:tcBorders>
              <w:top w:val="single" w:color="auto" w:sz="4" w:space="0"/>
              <w:left w:val="single" w:color="auto" w:sz="4" w:space="0"/>
              <w:bottom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lang w:val="en-US" w:eastAsia="zh-CN"/>
                <w14:textFill>
                  <w14:solidFill>
                    <w14:schemeClr w14:val="tx1"/>
                  </w14:solidFill>
                </w14:textFill>
              </w:rPr>
              <w:t>投标</w:t>
            </w:r>
            <w:r>
              <w:rPr>
                <w:rFonts w:hint="eastAsia" w:ascii="仿宋" w:hAnsi="仿宋" w:eastAsia="仿宋" w:cs="仿宋"/>
                <w:color w:val="000000" w:themeColor="text1"/>
                <w:sz w:val="28"/>
                <w:szCs w:val="28"/>
                <w:highlight w:val="none"/>
                <w14:textFill>
                  <w14:solidFill>
                    <w14:schemeClr w14:val="tx1"/>
                  </w14:solidFill>
                </w14:textFill>
              </w:rPr>
              <w:t>有效期</w:t>
            </w:r>
            <w:r>
              <w:rPr>
                <w:rFonts w:hint="eastAsia" w:ascii="仿宋" w:hAnsi="仿宋" w:eastAsia="仿宋" w:cs="仿宋"/>
                <w:color w:val="000000" w:themeColor="text1"/>
                <w:sz w:val="28"/>
                <w:szCs w:val="28"/>
                <w:highlight w:val="none"/>
                <w:lang w:val="en-US" w:eastAsia="zh-CN"/>
                <w14:textFill>
                  <w14:solidFill>
                    <w14:schemeClr w14:val="tx1"/>
                  </w14:solidFill>
                </w14:textFill>
              </w:rPr>
              <w:t>为</w:t>
            </w:r>
            <w:r>
              <w:rPr>
                <w:rFonts w:hint="eastAsia" w:ascii="仿宋" w:hAnsi="仿宋" w:eastAsia="仿宋" w:cs="仿宋"/>
                <w:color w:val="000000" w:themeColor="text1"/>
                <w:sz w:val="28"/>
                <w:szCs w:val="28"/>
                <w:highlight w:val="none"/>
                <w14:textFill>
                  <w14:solidFill>
                    <w14:schemeClr w14:val="tx1"/>
                  </w14:solidFill>
                </w14:textFill>
              </w:rPr>
              <w:t>90天；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按规定缴纳保证金；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auto"/>
                <w:sz w:val="28"/>
                <w:szCs w:val="28"/>
                <w:highlight w:val="none"/>
                <w:lang w:val="en-US" w:eastAsia="zh-CN"/>
              </w:rPr>
              <w:t>投标报价</w:t>
            </w:r>
            <w:r>
              <w:rPr>
                <w:rFonts w:hint="eastAsia" w:ascii="仿宋" w:hAnsi="仿宋" w:eastAsia="仿宋" w:cs="仿宋"/>
                <w:color w:val="000000" w:themeColor="text1"/>
                <w:sz w:val="28"/>
                <w:szCs w:val="28"/>
                <w:highlight w:val="none"/>
                <w:lang w:val="en-US" w:eastAsia="zh-CN"/>
                <w14:textFill>
                  <w14:solidFill>
                    <w14:schemeClr w14:val="tx1"/>
                  </w14:solidFill>
                </w14:textFill>
              </w:rPr>
              <w:t>（单价/总价）均</w:t>
            </w:r>
            <w:r>
              <w:rPr>
                <w:rFonts w:hint="eastAsia" w:ascii="仿宋" w:hAnsi="仿宋" w:eastAsia="仿宋" w:cs="仿宋"/>
                <w:color w:val="auto"/>
                <w:sz w:val="28"/>
                <w:szCs w:val="28"/>
                <w:highlight w:val="none"/>
                <w:lang w:val="en-US" w:eastAsia="zh-CN"/>
              </w:rPr>
              <w:t>不高于最高限价</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4.质保期、工期/供货期/服务期等满足招标文件要求；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default"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5.认可招标文件给定的付款条件等实质性要求；</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6.满足招标文件的其他实质性要求。</w:t>
            </w:r>
          </w:p>
        </w:tc>
      </w:tr>
    </w:tbl>
    <w:p>
      <w:pPr>
        <w:keepNext w:val="0"/>
        <w:keepLines w:val="0"/>
        <w:pageBreakBefore/>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一、总则</w:t>
      </w:r>
    </w:p>
    <w:p>
      <w:pPr>
        <w:keepNext w:val="0"/>
        <w:keepLines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bookmarkStart w:id="16" w:name="_Toc241742415"/>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一</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资金来源及落实情况</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1.资金来源：自筹资金。</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2.落实情况：已落实。</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二</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适用范围</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1.本招标文件适用于第一部分招标公告中所叙述的项目。按</w:t>
      </w:r>
      <w:r>
        <w:rPr>
          <w:rFonts w:hint="eastAsia" w:ascii="仿宋" w:hAnsi="仿宋" w:eastAsia="仿宋" w:cs="仿宋"/>
          <w:color w:val="000000" w:themeColor="text1"/>
          <w:sz w:val="28"/>
          <w:szCs w:val="28"/>
          <w:highlight w:val="none"/>
          <w:lang w:val="en-US" w:eastAsia="zh-CN"/>
          <w14:textFill>
            <w14:solidFill>
              <w14:schemeClr w14:val="tx1"/>
            </w14:solidFill>
          </w14:textFill>
        </w:rPr>
        <w:t>货物类</w:t>
      </w:r>
      <w:r>
        <w:rPr>
          <w:rFonts w:hint="eastAsia" w:ascii="仿宋" w:hAnsi="仿宋" w:eastAsia="仿宋" w:cs="仿宋"/>
          <w:color w:val="000000" w:themeColor="text1"/>
          <w:sz w:val="28"/>
          <w:szCs w:val="28"/>
          <w:highlight w:val="none"/>
          <w14:textFill>
            <w14:solidFill>
              <w14:schemeClr w14:val="tx1"/>
            </w14:solidFill>
          </w14:textFill>
        </w:rPr>
        <w:t>以公开招标方式实施采购。</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2.招标文件未</w:t>
      </w:r>
      <w:r>
        <w:rPr>
          <w:rFonts w:hint="eastAsia" w:ascii="仿宋" w:hAnsi="仿宋" w:eastAsia="仿宋" w:cs="仿宋"/>
          <w:color w:val="000000" w:themeColor="text1"/>
          <w:sz w:val="28"/>
          <w:szCs w:val="28"/>
          <w:highlight w:val="none"/>
          <w:lang w:eastAsia="zh-CN"/>
          <w14:textFill>
            <w14:solidFill>
              <w14:schemeClr w14:val="tx1"/>
            </w14:solidFill>
          </w14:textFill>
        </w:rPr>
        <w:t>作</w:t>
      </w:r>
      <w:r>
        <w:rPr>
          <w:rFonts w:hint="eastAsia" w:ascii="仿宋" w:hAnsi="仿宋" w:eastAsia="仿宋" w:cs="仿宋"/>
          <w:color w:val="000000" w:themeColor="text1"/>
          <w:sz w:val="28"/>
          <w:szCs w:val="28"/>
          <w:highlight w:val="none"/>
          <w14:textFill>
            <w14:solidFill>
              <w14:schemeClr w14:val="tx1"/>
            </w14:solidFill>
          </w14:textFill>
        </w:rPr>
        <w:t>须知明示，而又有相关法律、法规规定的，从其规定。</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三</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保密要求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潜在投标人应对取得的招标文件保密，不得向他人泄露招标文件的任何内容。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四</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投标语言</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投标人与其他采购当事人相互间交换的文件和来往的信函均须使用中文。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五</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 xml:space="preserve"> 计量单位</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除招标文件的技术规格另有规定外，投标文件应使用中华人民共和国法定计量</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货币</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单位。</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六</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其他</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1.投标人自行承担参加投标的全部费用，采购人和</w:t>
      </w:r>
      <w:r>
        <w:rPr>
          <w:rFonts w:hint="eastAsia" w:ascii="仿宋" w:hAnsi="仿宋" w:eastAsia="仿宋" w:cs="仿宋"/>
          <w:color w:val="000000" w:themeColor="text1"/>
          <w:sz w:val="28"/>
          <w:szCs w:val="28"/>
          <w:highlight w:val="none"/>
          <w:lang w:eastAsia="zh-CN"/>
          <w14:textFill>
            <w14:solidFill>
              <w14:schemeClr w14:val="tx1"/>
            </w14:solidFill>
          </w14:textFill>
        </w:rPr>
        <w:t>威海正华工程咨询有限公司</w:t>
      </w:r>
      <w:r>
        <w:rPr>
          <w:rFonts w:hint="eastAsia" w:ascii="仿宋" w:hAnsi="仿宋" w:eastAsia="仿宋" w:cs="仿宋"/>
          <w:color w:val="000000" w:themeColor="text1"/>
          <w:sz w:val="28"/>
          <w:szCs w:val="28"/>
          <w:highlight w:val="none"/>
          <w14:textFill>
            <w14:solidFill>
              <w14:schemeClr w14:val="tx1"/>
            </w14:solidFill>
          </w14:textFill>
        </w:rPr>
        <w:t>（以下简称“招标公司”）均无义务和责任承担此费用。</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2.采购人或招标公司均无义务向投标人解释其中标或未中标的原因。</w:t>
      </w:r>
    </w:p>
    <w:p>
      <w:pPr>
        <w:keepNext w:val="0"/>
        <w:keepLines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w:t>
      </w:r>
    </w:p>
    <w:bookmarkEnd w:id="16"/>
    <w:p>
      <w:pPr>
        <w:keepNext w:val="0"/>
        <w:keepLines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二、招标文件</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招标文件的构成</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w:t>
      </w:r>
      <w:r>
        <w:rPr>
          <w:rFonts w:hint="eastAsia" w:ascii="仿宋" w:hAnsi="仿宋" w:eastAsia="仿宋" w:cs="仿宋"/>
          <w:color w:val="000000" w:themeColor="text1"/>
          <w:sz w:val="28"/>
          <w:szCs w:val="28"/>
          <w:highlight w:val="none"/>
          <w:lang w:eastAsia="zh-CN"/>
          <w14:textFill>
            <w14:solidFill>
              <w14:schemeClr w14:val="tx1"/>
            </w14:solidFill>
          </w14:textFill>
        </w:rPr>
        <w:t>段</w:t>
      </w:r>
      <w:r>
        <w:rPr>
          <w:rFonts w:hint="eastAsia" w:ascii="仿宋" w:hAnsi="仿宋" w:eastAsia="仿宋" w:cs="仿宋"/>
          <w:color w:val="000000" w:themeColor="text1"/>
          <w:sz w:val="28"/>
          <w:szCs w:val="28"/>
          <w:highlight w:val="none"/>
          <w14:textFill>
            <w14:solidFill>
              <w14:schemeClr w14:val="tx1"/>
            </w14:solidFill>
          </w14:textFill>
        </w:rPr>
        <w:t>文件（word格式）和各包段的数据文件（excel格式）构成，采用压缩包电子版文件格式提供。</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1.本文件（word格式）由下列文件组成：</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（2）投标人须知</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（4）采购内容与要求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（6）合同书（范本）</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（7）在招标过程中由招标单位或招标代理机构发出的修正和补充文件等（如有）</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2.数据文件（excel格式）由下列文件组成：</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二</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招标文件的澄清</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在收到招标文件后，对招标文件若有任何疑问或要求澄清招标文件的，应在投标截止时间前2日内按“投标须知前附表”第四项向招标公司提出，招标公司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2.投标人在规定的时间内未对招标文件澄清或提出疑问的，招标公司将视其为接受招标文件的所有条款，对招标文件没有异议，此后也不再受理对招标文件的相关质疑。</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三</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招标文件的修改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.在投标截止时间2日以前，无论出于何种原因，招标公司或招标人可主动或在解答投标人提出的疑问时对招标文件进行修改。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修改后的内容是招标文件的组成部分，招标人、招标公司将会通过“威海市公共资源交易网”，以更正公告形式（电子交易系统发送更正提醒通知）一并告知所有潜在投标人，并对潜在投标人具有约束力。潜在投标人在收到上述通知后，应立即以书面形式向</w:t>
      </w:r>
      <w:r>
        <w:rPr>
          <w:rFonts w:hint="eastAsia" w:ascii="仿宋" w:hAnsi="仿宋" w:eastAsia="仿宋" w:cs="仿宋"/>
          <w:color w:val="000000" w:themeColor="text1"/>
          <w:sz w:val="28"/>
          <w:szCs w:val="28"/>
          <w:highlight w:val="none"/>
          <w:lang w:eastAsia="zh-CN"/>
          <w14:textFill>
            <w14:solidFill>
              <w14:schemeClr w14:val="tx1"/>
            </w14:solidFill>
          </w14:textFill>
        </w:rPr>
        <w:t>威海正华工程咨询有限公司</w:t>
      </w:r>
      <w:r>
        <w:rPr>
          <w:rFonts w:hint="eastAsia" w:ascii="仿宋" w:hAnsi="仿宋" w:eastAsia="仿宋" w:cs="仿宋"/>
          <w:color w:val="000000" w:themeColor="text1"/>
          <w:sz w:val="28"/>
          <w:szCs w:val="28"/>
          <w:highlight w:val="none"/>
          <w14:textFill>
            <w14:solidFill>
              <w14:schemeClr w14:val="tx1"/>
            </w14:solidFill>
          </w14:textFill>
        </w:rPr>
        <w:t>或招标人确认，如在24小时内无书面回函则视为同意修改内容，</w:t>
      </w:r>
      <w:r>
        <w:rPr>
          <w:rFonts w:hint="eastAsia" w:ascii="仿宋" w:hAnsi="仿宋" w:eastAsia="仿宋" w:cs="仿宋"/>
          <w:color w:val="000000" w:themeColor="text1"/>
          <w:sz w:val="28"/>
          <w:szCs w:val="28"/>
          <w:highlight w:val="none"/>
          <w:lang w:eastAsia="zh-CN"/>
          <w14:textFill>
            <w14:solidFill>
              <w14:schemeClr w14:val="tx1"/>
            </w14:solidFill>
          </w14:textFill>
        </w:rPr>
        <w:t>并</w:t>
      </w:r>
      <w:r>
        <w:rPr>
          <w:rFonts w:hint="eastAsia" w:ascii="仿宋" w:hAnsi="仿宋" w:eastAsia="仿宋" w:cs="仿宋"/>
          <w:color w:val="000000" w:themeColor="text1"/>
          <w:sz w:val="28"/>
          <w:szCs w:val="28"/>
          <w:highlight w:val="none"/>
          <w14:textFill>
            <w14:solidFill>
              <w14:schemeClr w14:val="tx1"/>
            </w14:solidFill>
          </w14:textFill>
        </w:rPr>
        <w:t>履行相应的义务。</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澄清或者修改的内容可能影响投标文件编制的，招标人或招标公司将在投标截止时间2日前，通过原网站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公司将顺延提交投标文件的截止时间。</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四</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解释权</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本招标文件的最终解释权属于招标公司，以书面解释为准。</w:t>
      </w:r>
    </w:p>
    <w:p>
      <w:pPr>
        <w:keepNext w:val="0"/>
        <w:keepLines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三、投标文件的编制</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（一）投标文件编制要求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1.投标人编写的文件和往来信件应以简体中文书写。如果投标文件或与投标有关的其它文件、信件及来往函电以其它语言书写的，投标人应将其译成中文，如未翻译该文件为无效文件。</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2.投标文件中使用的计量单位应使用中华人民共和国法定计量单位。</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必须保证投标文件所提供的全部资料真实可靠，并接受采购人或招标公司对其中任何资料进一步核实的要求。如果因为投标文件填报的内容不详，或没有提供招标文件中所要求的全部资料及数据，或提供虚假文件，由此造成的后果由投标人自负。</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5.投标人按照采购文件要求所提供的各种证明文件必须真实且合法有效</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经扫描后粘贴到投标文件的相关页上，确保清晰度可辨认，评审时由于无法辨认所产生的后果，由投标人自行承担。</w:t>
      </w:r>
    </w:p>
    <w:p>
      <w:pPr>
        <w:keepNext w:val="0"/>
        <w:keepLines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6.投标人应自行确保本文件的内容已充分覆盖了数据文件中《评审对照表》和《评分对照表</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如有</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》中的各项要求，并准确将对应的起止页码填写到数据文件《评审对照表》、《评分对照表</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如有</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》表格中每项后的起始页码和终止页码栏位上。对于不涉及或无法填写的评审项（评分项）（例如：报价），可在页码索引处填写1。</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7.为了保证系统整体效率，系统对所投递的电子文件有大小的限制</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因此，投标人应尽可能降低本文件的大小，小尺寸投标文件将使递交更快捷</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减少差错</w:t>
      </w:r>
      <w:r>
        <w:rPr>
          <w:rFonts w:hint="eastAsia" w:ascii="仿宋" w:hAnsi="仿宋" w:eastAsia="仿宋" w:cs="仿宋"/>
          <w:color w:val="000000" w:themeColor="text1"/>
          <w:sz w:val="28"/>
          <w:szCs w:val="28"/>
          <w:highlight w:val="none"/>
          <w:lang w:eastAsia="zh-CN"/>
          <w14:textFill>
            <w14:solidFill>
              <w14:schemeClr w14:val="tx1"/>
            </w14:solidFill>
          </w14:textFill>
        </w:rPr>
        <w:t>发生概率</w:t>
      </w:r>
      <w:r>
        <w:rPr>
          <w:rFonts w:hint="eastAsia" w:ascii="仿宋" w:hAnsi="仿宋" w:eastAsia="仿宋" w:cs="仿宋"/>
          <w:color w:val="000000" w:themeColor="text1"/>
          <w:sz w:val="28"/>
          <w:szCs w:val="28"/>
          <w:highlight w:val="none"/>
          <w14:textFill>
            <w14:solidFill>
              <w14:schemeClr w14:val="tx1"/>
            </w14:solidFill>
          </w14:textFill>
        </w:rPr>
        <w:t>，避免</w:t>
      </w:r>
      <w:r>
        <w:rPr>
          <w:rFonts w:hint="eastAsia" w:ascii="仿宋" w:hAnsi="仿宋" w:eastAsia="仿宋" w:cs="仿宋"/>
          <w:color w:val="000000" w:themeColor="text1"/>
          <w:sz w:val="28"/>
          <w:szCs w:val="28"/>
          <w:highlight w:val="none"/>
          <w:lang w:eastAsia="zh-CN"/>
          <w14:textFill>
            <w14:solidFill>
              <w14:schemeClr w14:val="tx1"/>
            </w14:solidFill>
          </w14:textFill>
        </w:rPr>
        <w:t>在投标</w:t>
      </w:r>
      <w:r>
        <w:rPr>
          <w:rFonts w:hint="eastAsia" w:ascii="仿宋" w:hAnsi="仿宋" w:eastAsia="仿宋" w:cs="仿宋"/>
          <w:color w:val="000000" w:themeColor="text1"/>
          <w:sz w:val="28"/>
          <w:szCs w:val="28"/>
          <w:highlight w:val="none"/>
          <w14:textFill>
            <w14:solidFill>
              <w14:schemeClr w14:val="tx1"/>
            </w14:solidFill>
          </w14:textFill>
        </w:rPr>
        <w:t>截止时间前未能完整上传文件。</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8.投标文件具有法律效力，投标人与招标公司或采购人</w:t>
      </w:r>
      <w:r>
        <w:rPr>
          <w:rFonts w:hint="eastAsia" w:ascii="仿宋" w:hAnsi="仿宋" w:eastAsia="仿宋" w:cs="仿宋"/>
          <w:color w:val="000000" w:themeColor="text1"/>
          <w:sz w:val="28"/>
          <w:szCs w:val="28"/>
          <w:highlight w:val="none"/>
          <w:lang w:eastAsia="zh-CN"/>
          <w14:textFill>
            <w14:solidFill>
              <w14:schemeClr w14:val="tx1"/>
            </w14:solidFill>
          </w14:textFill>
        </w:rPr>
        <w:t>的任何</w:t>
      </w:r>
      <w:r>
        <w:rPr>
          <w:rFonts w:hint="eastAsia" w:ascii="仿宋" w:hAnsi="仿宋" w:eastAsia="仿宋" w:cs="仿宋"/>
          <w:color w:val="000000" w:themeColor="text1"/>
          <w:sz w:val="28"/>
          <w:szCs w:val="28"/>
          <w:highlight w:val="none"/>
          <w14:textFill>
            <w14:solidFill>
              <w14:schemeClr w14:val="tx1"/>
            </w14:solidFill>
          </w14:textFill>
        </w:rPr>
        <w:t>口头协议不影响投标文件的任何条款和内容。</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（二）数据文件编制要求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1.投标人须从所投项目的招标文件压缩包内对应包段目录下获取本文件（变更后的数据文件需要重新下载），必须在原文件上严格按照</w:t>
      </w:r>
      <w:r>
        <w:rPr>
          <w:rFonts w:hint="eastAsia" w:ascii="仿宋" w:hAnsi="仿宋" w:eastAsia="仿宋" w:cs="仿宋"/>
          <w:color w:val="000000" w:themeColor="text1"/>
          <w:sz w:val="28"/>
          <w:szCs w:val="28"/>
          <w:highlight w:val="none"/>
          <w:lang w:eastAsia="zh-CN"/>
          <w14:textFill>
            <w14:solidFill>
              <w14:schemeClr w14:val="tx1"/>
            </w14:solidFill>
          </w14:textFill>
        </w:rPr>
        <w:t>其</w:t>
      </w:r>
      <w:r>
        <w:rPr>
          <w:rFonts w:hint="eastAsia" w:ascii="仿宋" w:hAnsi="仿宋" w:eastAsia="仿宋" w:cs="仿宋"/>
          <w:color w:val="000000" w:themeColor="text1"/>
          <w:sz w:val="28"/>
          <w:szCs w:val="28"/>
          <w:highlight w:val="none"/>
          <w14:textFill>
            <w14:solidFill>
              <w14:schemeClr w14:val="tx1"/>
            </w14:solidFill>
          </w14:textFill>
        </w:rPr>
        <w:t>要求填写，其内部已约定好固定格式和相关内容，且带有特定的唯一性数字指纹，</w:t>
      </w:r>
      <w:r>
        <w:rPr>
          <w:rFonts w:hint="eastAsia" w:ascii="仿宋" w:hAnsi="仿宋" w:eastAsia="仿宋" w:cs="仿宋"/>
          <w:color w:val="000000" w:themeColor="text1"/>
          <w:sz w:val="28"/>
          <w:szCs w:val="28"/>
          <w:highlight w:val="none"/>
          <w:lang w:eastAsia="zh-CN"/>
          <w14:textFill>
            <w14:solidFill>
              <w14:schemeClr w14:val="tx1"/>
            </w14:solidFill>
          </w14:textFill>
        </w:rPr>
        <w:t>采用</w:t>
      </w:r>
      <w:r>
        <w:rPr>
          <w:rFonts w:hint="eastAsia" w:ascii="仿宋" w:hAnsi="仿宋" w:eastAsia="仿宋" w:cs="仿宋"/>
          <w:color w:val="000000" w:themeColor="text1"/>
          <w:sz w:val="28"/>
          <w:szCs w:val="28"/>
          <w:highlight w:val="none"/>
          <w14:textFill>
            <w14:solidFill>
              <w14:schemeClr w14:val="tx1"/>
            </w14:solidFill>
          </w14:textFill>
        </w:rPr>
        <w:t>非该文件基础上编制</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对该文件进行任何工作表、表格行、表格列的增减</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对工作表先后顺序的变动，</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对锁定区域内的数据进行更改、</w:t>
      </w:r>
      <w:r>
        <w:rPr>
          <w:rFonts w:hint="eastAsia" w:ascii="仿宋" w:hAnsi="仿宋" w:eastAsia="仿宋" w:cs="仿宋"/>
          <w:b/>
          <w:bCs/>
          <w:color w:val="000000" w:themeColor="text1"/>
          <w:sz w:val="28"/>
          <w:szCs w:val="28"/>
          <w:highlight w:val="none"/>
          <w14:textFill>
            <w14:solidFill>
              <w14:schemeClr w14:val="tx1"/>
            </w14:solidFill>
          </w14:textFill>
        </w:rPr>
        <w:t>文件另存到其他文件</w:t>
      </w:r>
      <w:r>
        <w:rPr>
          <w:rFonts w:hint="eastAsia" w:ascii="仿宋" w:hAnsi="仿宋" w:eastAsia="仿宋" w:cs="仿宋"/>
          <w:color w:val="000000" w:themeColor="text1"/>
          <w:sz w:val="28"/>
          <w:szCs w:val="28"/>
          <w:highlight w:val="none"/>
          <w14:textFill>
            <w14:solidFill>
              <w14:schemeClr w14:val="tx1"/>
            </w14:solidFill>
          </w14:textFill>
        </w:rPr>
        <w:t>等</w:t>
      </w:r>
      <w:r>
        <w:rPr>
          <w:rFonts w:hint="eastAsia" w:ascii="仿宋" w:hAnsi="仿宋" w:eastAsia="仿宋" w:cs="仿宋"/>
          <w:color w:val="000000" w:themeColor="text1"/>
          <w:sz w:val="28"/>
          <w:szCs w:val="28"/>
          <w:highlight w:val="none"/>
          <w:lang w:eastAsia="zh-CN"/>
          <w14:textFill>
            <w14:solidFill>
              <w14:schemeClr w14:val="tx1"/>
            </w14:solidFill>
          </w14:textFill>
        </w:rPr>
        <w:t>违规操作</w:t>
      </w:r>
      <w:r>
        <w:rPr>
          <w:rFonts w:hint="eastAsia" w:ascii="仿宋" w:hAnsi="仿宋" w:eastAsia="仿宋" w:cs="仿宋"/>
          <w:color w:val="000000" w:themeColor="text1"/>
          <w:sz w:val="28"/>
          <w:szCs w:val="28"/>
          <w:highlight w:val="none"/>
          <w14:textFill>
            <w14:solidFill>
              <w14:schemeClr w14:val="tx1"/>
            </w14:solidFill>
          </w14:textFill>
        </w:rPr>
        <w:t>，都会破坏本文件中的数字指纹，导致系统无法接收该文件</w:t>
      </w:r>
      <w:r>
        <w:rPr>
          <w:rFonts w:hint="eastAsia" w:ascii="仿宋" w:hAnsi="仿宋" w:eastAsia="仿宋" w:cs="仿宋"/>
          <w:color w:val="000000" w:themeColor="text1"/>
          <w:sz w:val="28"/>
          <w:szCs w:val="28"/>
          <w:highlight w:val="none"/>
          <w:lang w:eastAsia="zh-CN"/>
          <w14:textFill>
            <w14:solidFill>
              <w14:schemeClr w14:val="tx1"/>
            </w14:solidFill>
          </w14:textFill>
        </w:rPr>
        <w:t>，使</w:t>
      </w:r>
      <w:r>
        <w:rPr>
          <w:rFonts w:hint="eastAsia" w:ascii="仿宋" w:hAnsi="仿宋" w:eastAsia="仿宋" w:cs="仿宋"/>
          <w:color w:val="000000" w:themeColor="text1"/>
          <w:sz w:val="28"/>
          <w:szCs w:val="28"/>
          <w:highlight w:val="none"/>
          <w14:textFill>
            <w14:solidFill>
              <w14:schemeClr w14:val="tx1"/>
            </w14:solidFill>
          </w14:textFill>
        </w:rPr>
        <w:t>其</w:t>
      </w:r>
      <w:r>
        <w:rPr>
          <w:rFonts w:hint="eastAsia" w:ascii="仿宋" w:hAnsi="仿宋" w:eastAsia="仿宋" w:cs="仿宋"/>
          <w:b/>
          <w:bCs/>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2.投标人应按数据文件中规定的要求，完整、准确地填写《封面》《投标报价表（含明细）》《需求响应表（如有）》《评审对照表》《评分对照表（如有）》，</w:t>
      </w:r>
      <w:r>
        <w:rPr>
          <w:rFonts w:hint="eastAsia" w:ascii="仿宋" w:hAnsi="仿宋" w:eastAsia="仿宋" w:cs="仿宋"/>
          <w:color w:val="000000" w:themeColor="text1"/>
          <w:sz w:val="28"/>
          <w:szCs w:val="28"/>
          <w:highlight w:val="none"/>
          <w:lang w:eastAsia="zh-CN"/>
          <w14:textFill>
            <w14:solidFill>
              <w14:schemeClr w14:val="tx1"/>
            </w14:solidFill>
          </w14:textFill>
        </w:rPr>
        <w:t>任何</w:t>
      </w:r>
      <w:r>
        <w:rPr>
          <w:rFonts w:hint="eastAsia" w:ascii="仿宋" w:hAnsi="仿宋" w:eastAsia="仿宋" w:cs="仿宋"/>
          <w:color w:val="000000" w:themeColor="text1"/>
          <w:sz w:val="28"/>
          <w:szCs w:val="28"/>
          <w:highlight w:val="none"/>
          <w14:textFill>
            <w14:solidFill>
              <w14:schemeClr w14:val="tx1"/>
            </w14:solidFill>
          </w14:textFill>
        </w:rPr>
        <w:t>漏表、漏项</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信息不完整、填写数据不规范或不正确</w:t>
      </w:r>
      <w:r>
        <w:rPr>
          <w:rFonts w:hint="eastAsia" w:ascii="仿宋" w:hAnsi="仿宋" w:eastAsia="仿宋" w:cs="仿宋"/>
          <w:color w:val="000000" w:themeColor="text1"/>
          <w:sz w:val="28"/>
          <w:szCs w:val="28"/>
          <w:highlight w:val="none"/>
          <w:lang w:eastAsia="zh-CN"/>
          <w14:textFill>
            <w14:solidFill>
              <w14:schemeClr w14:val="tx1"/>
            </w14:solidFill>
          </w14:textFill>
        </w:rPr>
        <w:t>的情况，</w:t>
      </w:r>
      <w:r>
        <w:rPr>
          <w:rFonts w:hint="eastAsia" w:ascii="仿宋" w:hAnsi="仿宋" w:eastAsia="仿宋" w:cs="仿宋"/>
          <w:color w:val="000000" w:themeColor="text1"/>
          <w:sz w:val="28"/>
          <w:szCs w:val="28"/>
          <w:highlight w:val="none"/>
          <w14:textFill>
            <w14:solidFill>
              <w14:schemeClr w14:val="tx1"/>
            </w14:solidFill>
          </w14:textFill>
        </w:rPr>
        <w:t>都将导致电子交易平台无法接收该文件</w:t>
      </w:r>
      <w:r>
        <w:rPr>
          <w:rFonts w:hint="eastAsia" w:ascii="仿宋" w:hAnsi="仿宋" w:eastAsia="仿宋" w:cs="仿宋"/>
          <w:color w:val="000000" w:themeColor="text1"/>
          <w:sz w:val="28"/>
          <w:szCs w:val="28"/>
          <w:highlight w:val="none"/>
          <w:lang w:eastAsia="zh-CN"/>
          <w14:textFill>
            <w14:solidFill>
              <w14:schemeClr w14:val="tx1"/>
            </w14:solidFill>
          </w14:textFill>
        </w:rPr>
        <w:t>，使</w:t>
      </w:r>
      <w:r>
        <w:rPr>
          <w:rFonts w:hint="eastAsia" w:ascii="仿宋" w:hAnsi="仿宋" w:eastAsia="仿宋" w:cs="仿宋"/>
          <w:color w:val="000000" w:themeColor="text1"/>
          <w:sz w:val="28"/>
          <w:szCs w:val="28"/>
          <w:highlight w:val="none"/>
          <w14:textFill>
            <w14:solidFill>
              <w14:schemeClr w14:val="tx1"/>
            </w14:solidFill>
          </w14:textFill>
        </w:rPr>
        <w:t>其</w:t>
      </w:r>
      <w:r>
        <w:rPr>
          <w:rFonts w:hint="eastAsia" w:ascii="仿宋" w:hAnsi="仿宋" w:eastAsia="仿宋" w:cs="仿宋"/>
          <w:b/>
          <w:bCs/>
          <w:color w:val="000000" w:themeColor="text1"/>
          <w:sz w:val="28"/>
          <w:szCs w:val="28"/>
          <w:highlight w:val="none"/>
          <w14:textFill>
            <w14:solidFill>
              <w14:schemeClr w14:val="tx1"/>
            </w14:solidFill>
          </w14:textFill>
        </w:rPr>
        <w:t>投标失败。</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3.投标人在对数据文件电子签章前，应按照上述2项的要求进行认真检查、确认。因投标人自身原因所导致其投标失败的，须自行承担相关责任。</w:t>
      </w:r>
    </w:p>
    <w:p>
      <w:pPr>
        <w:keepNext w:val="0"/>
        <w:keepLines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（三）文件构成</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w:t>
      </w:r>
      <w:r>
        <w:rPr>
          <w:rFonts w:hint="eastAsia" w:ascii="仿宋" w:hAnsi="仿宋" w:eastAsia="仿宋" w:cs="仿宋"/>
          <w:color w:val="000000" w:themeColor="text1"/>
          <w:sz w:val="28"/>
          <w:szCs w:val="28"/>
          <w:highlight w:val="none"/>
          <w:lang w:eastAsia="zh-CN"/>
          <w14:textFill>
            <w14:solidFill>
              <w14:schemeClr w14:val="tx1"/>
            </w14:solidFill>
          </w14:textFill>
        </w:rPr>
        <w:t>，必须</w:t>
      </w:r>
      <w:r>
        <w:rPr>
          <w:rFonts w:hint="eastAsia" w:ascii="仿宋" w:hAnsi="仿宋" w:eastAsia="仿宋" w:cs="仿宋"/>
          <w:color w:val="000000" w:themeColor="text1"/>
          <w:sz w:val="28"/>
          <w:szCs w:val="28"/>
          <w:highlight w:val="none"/>
          <w14:textFill>
            <w14:solidFill>
              <w14:schemeClr w14:val="tx1"/>
            </w14:solidFill>
          </w14:textFill>
        </w:rPr>
        <w:t>包括：投标文件（pdf格式）（第一册）、数据文件（PDF格式）（第二册），以上内容缺一不可，否则为</w:t>
      </w:r>
      <w:r>
        <w:rPr>
          <w:rFonts w:hint="eastAsia" w:ascii="仿宋" w:hAnsi="仿宋" w:eastAsia="仿宋" w:cs="仿宋"/>
          <w:b/>
          <w:bCs/>
          <w:color w:val="000000" w:themeColor="text1"/>
          <w:sz w:val="28"/>
          <w:szCs w:val="28"/>
          <w:highlight w:val="none"/>
          <w14:textFill>
            <w14:solidFill>
              <w14:schemeClr w14:val="tx1"/>
            </w14:solidFill>
          </w14:textFill>
        </w:rPr>
        <w:t>无效投标。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1.投标文件（pdf格式）（第一册）由下述部分组成：</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属于固定格式的</w:t>
      </w:r>
      <w:r>
        <w:rPr>
          <w:rFonts w:hint="eastAsia" w:ascii="仿宋" w:hAnsi="仿宋" w:eastAsia="仿宋" w:cs="仿宋"/>
          <w:color w:val="000000" w:themeColor="text1"/>
          <w:sz w:val="28"/>
          <w:szCs w:val="28"/>
          <w:highlight w:val="none"/>
          <w:lang w:eastAsia="zh-CN"/>
          <w14:textFill>
            <w14:solidFill>
              <w14:schemeClr w14:val="tx1"/>
            </w14:solidFill>
          </w14:textFill>
        </w:rPr>
        <w:t>，须</w:t>
      </w:r>
      <w:r>
        <w:rPr>
          <w:rFonts w:hint="eastAsia" w:ascii="仿宋" w:hAnsi="仿宋" w:eastAsia="仿宋" w:cs="仿宋"/>
          <w:color w:val="000000" w:themeColor="text1"/>
          <w:sz w:val="28"/>
          <w:szCs w:val="28"/>
          <w:highlight w:val="none"/>
          <w14:textFill>
            <w14:solidFill>
              <w14:schemeClr w14:val="tx1"/>
            </w14:solidFill>
          </w14:textFill>
        </w:rPr>
        <w:t>按招标公司提供的格式填写，详见第五部分 投标文件（格式）</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2.数据文件（PDF格式）（第二册）</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数据文件（PDF格式）包含下列内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3.投标报价要求 </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（1）报价币种为人民币，精确到小数点后两位。</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各投标单位在报价时，投标报价不能高于招标最高限价，否则否决其投标。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投标人应按清单的要求填写相应表格。</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）投标人应按照“第四部分采购内容与要求”的服务内容、责任范围以及合同条款进行报价。并按数据文件中“投标报价表（含明细）”规定的格式报出分项价格和总价。</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）投标人应按数据文件“投标报价表（含明细）”要求的统一格式填写，并加盖电子公章。</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）《投标报价表（含明细）》填写时应响应下列要求：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①所有根据合同或其他原因应由投标人支付的税款和其他应交纳的费用都要包括在投标人提交的报价中。</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②投标单位在投标报价时，应根据企业自身实力结合市场信息，充分考虑市场竞争因素和市场风险进行自主报价。</w:t>
      </w:r>
      <w:r>
        <w:rPr>
          <w:rFonts w:hint="eastAsia" w:ascii="仿宋" w:hAnsi="仿宋" w:eastAsia="仿宋" w:cs="仿宋"/>
          <w:color w:val="000000" w:themeColor="text1"/>
          <w:sz w:val="28"/>
          <w:szCs w:val="28"/>
          <w:highlight w:val="none"/>
          <w:lang w:eastAsia="zh-CN"/>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应根据招标代理机构提供的招标文件、各自情况等进行投标报价的编制，报价应包括采购范围内的全部内容。</w:t>
      </w:r>
      <w:r>
        <w:rPr>
          <w:rFonts w:hint="eastAsia" w:ascii="仿宋" w:hAnsi="仿宋" w:eastAsia="仿宋" w:cs="仿宋"/>
          <w:color w:val="000000" w:themeColor="text1"/>
          <w:sz w:val="28"/>
          <w:szCs w:val="28"/>
          <w:highlight w:val="none"/>
          <w:lang w:eastAsia="zh-CN"/>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应充分考虑本项目合同实施期间可能发生的一切费用，并承担由此而带来的风险。凡</w:t>
      </w:r>
      <w:r>
        <w:rPr>
          <w:rFonts w:hint="eastAsia" w:ascii="仿宋" w:hAnsi="仿宋" w:eastAsia="仿宋" w:cs="仿宋"/>
          <w:color w:val="000000" w:themeColor="text1"/>
          <w:sz w:val="28"/>
          <w:szCs w:val="28"/>
          <w:highlight w:val="none"/>
          <w:lang w:eastAsia="zh-CN"/>
          <w14:textFill>
            <w14:solidFill>
              <w14:schemeClr w14:val="tx1"/>
            </w14:solidFill>
          </w14:textFill>
        </w:rPr>
        <w:t>投标人</w:t>
      </w:r>
      <w:r>
        <w:rPr>
          <w:rFonts w:hint="eastAsia" w:ascii="仿宋" w:hAnsi="仿宋" w:eastAsia="仿宋" w:cs="仿宋"/>
          <w:color w:val="000000" w:themeColor="text1"/>
          <w:sz w:val="28"/>
          <w:szCs w:val="28"/>
          <w:highlight w:val="none"/>
          <w14:textFill>
            <w14:solidFill>
              <w14:schemeClr w14:val="tx1"/>
            </w14:solidFill>
          </w14:textFill>
        </w:rPr>
        <w:t>在报价中未列明但又为本次采购所必备的项目或遗漏项目，</w:t>
      </w:r>
      <w:r>
        <w:rPr>
          <w:rFonts w:hint="eastAsia" w:ascii="仿宋" w:hAnsi="仿宋" w:eastAsia="仿宋" w:cs="仿宋"/>
          <w:color w:val="000000" w:themeColor="text1"/>
          <w:sz w:val="28"/>
          <w:szCs w:val="28"/>
          <w:highlight w:val="none"/>
          <w:lang w:eastAsia="zh-CN"/>
          <w14:textFill>
            <w14:solidFill>
              <w14:schemeClr w14:val="tx1"/>
            </w14:solidFill>
          </w14:textFill>
        </w:rPr>
        <w:t>招标人</w:t>
      </w:r>
      <w:r>
        <w:rPr>
          <w:rFonts w:hint="eastAsia" w:ascii="仿宋" w:hAnsi="仿宋" w:eastAsia="仿宋" w:cs="仿宋"/>
          <w:color w:val="000000" w:themeColor="text1"/>
          <w:sz w:val="28"/>
          <w:szCs w:val="28"/>
          <w:highlight w:val="none"/>
          <w14:textFill>
            <w14:solidFill>
              <w14:schemeClr w14:val="tx1"/>
            </w14:solidFill>
          </w14:textFill>
        </w:rPr>
        <w:t>将一律视为已包括在其报价中，在合同执行中将不予考虑。</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③投标人应对本次招标的全部内容进行报价，缺项报价投标无效。如因投标人自身的原因报价失误而造成的损失，由投标人自行承担。</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④投标人须严格按照报价明细表说明进行填写，报价明细表中 “*”是必填项，任何必填项为空时都可能导致本次投标无效。</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⑤《投标报价表（含明细）》中合价将由单价*数量自动计算，无需手工录入。</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）《需求响应表》（如有）填写时应响应下列要求：</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①有底色标识的单元格须填写，有“*”的列是必输项，任何必输项为空都可能导致您的本次投标无效。</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②如想拷贝数据到某个待填写单元格，应采用选择性粘贴</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只粘贴文本</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，否则单元格填写无效或被锁死。</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③当招标需求列的内容显示不完整时，请点击编辑栏进行查看。</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④响应需求请按照商品</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服务</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的招标</w:t>
      </w:r>
      <w:r>
        <w:rPr>
          <w:rFonts w:hint="eastAsia" w:ascii="仿宋" w:hAnsi="仿宋" w:eastAsia="仿宋" w:cs="仿宋"/>
          <w:color w:val="000000" w:themeColor="text1"/>
          <w:sz w:val="28"/>
          <w:szCs w:val="28"/>
          <w:highlight w:val="none"/>
          <w:lang w:eastAsia="zh-CN"/>
          <w14:textFill>
            <w14:solidFill>
              <w14:schemeClr w14:val="tx1"/>
            </w14:solidFill>
          </w14:textFill>
        </w:rPr>
        <w:t>需求</w:t>
      </w:r>
      <w:r>
        <w:rPr>
          <w:rFonts w:hint="eastAsia" w:ascii="仿宋" w:hAnsi="仿宋" w:eastAsia="仿宋" w:cs="仿宋"/>
          <w:color w:val="000000" w:themeColor="text1"/>
          <w:sz w:val="28"/>
          <w:szCs w:val="28"/>
          <w:highlight w:val="none"/>
          <w14:textFill>
            <w14:solidFill>
              <w14:schemeClr w14:val="tx1"/>
            </w14:solidFill>
          </w14:textFill>
        </w:rPr>
        <w:t>逐一说明，如实填写。“响应需求”中需详细列明所报产品（服务）的明细；若与投标文件中提供的产品检测报告（如有）、生产厂家出具的产品彩页等证明材料的实质性响应情况不一致，按无效投标处理。</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⑤按照该表显示位置加盖一个电子印章。</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⑥该表为固定格式且有数字指纹，必须在原表上填写，填写完毕后只可保存不可另存。删除该表、增加该表、增加行列、删除行列、对固定格式的任何改动均会导致无效投标。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）投标人的报价在合同执行过程中是固定不变的，不得以任何理由改变。所有价格折扣、优惠条件必须在报价明细表中注明，否则评审时不予认可。</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（四）联合体投标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1.以联合体形式进行投标的，应当提交联合协议，载明联合体各方承担的工作和义务。联合体各方应当共同与采购人签订采购合同，就采购合同约定的事项对采购人承担连带责任。</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2.联合体中有同类资质的投标人按照联合体分工承担相同工作的，应当按照资质等级较低的投标人确定资质等级。</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3.联合体的各方应当共同推荐一名联合体投标</w:t>
      </w:r>
      <w:r>
        <w:rPr>
          <w:rFonts w:hint="eastAsia" w:ascii="仿宋" w:hAnsi="仿宋" w:eastAsia="仿宋" w:cs="仿宋"/>
          <w:color w:val="000000" w:themeColor="text1"/>
          <w:sz w:val="28"/>
          <w:szCs w:val="28"/>
          <w:highlight w:val="none"/>
          <w:lang w:eastAsia="zh-CN"/>
          <w14:textFill>
            <w14:solidFill>
              <w14:schemeClr w14:val="tx1"/>
            </w14:solidFill>
          </w14:textFill>
        </w:rPr>
        <w:t>授权代表</w:t>
      </w:r>
      <w:r>
        <w:rPr>
          <w:rFonts w:hint="eastAsia" w:ascii="仿宋" w:hAnsi="仿宋" w:eastAsia="仿宋" w:cs="仿宋"/>
          <w:color w:val="000000" w:themeColor="text1"/>
          <w:sz w:val="28"/>
          <w:szCs w:val="28"/>
          <w:highlight w:val="none"/>
          <w14:textFill>
            <w14:solidFill>
              <w14:schemeClr w14:val="tx1"/>
            </w14:solidFill>
          </w14:textFill>
        </w:rPr>
        <w:t>，由联合体各方提交一份授权书，证明其有资格代表联合体各方签署投标文件，该授权书作为投标文件的组成部分。</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4.以联合体形式参加采购活动的，联合体各方不得再单独参加或者与其他投标人另外组成联合体参加同一合同项下的采购活动。</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pPr>
        <w:keepNext w:val="0"/>
        <w:keepLines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（五）投标文件的数量和签署</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1.投标文件（pdf格式）（第一册）1份</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w:t>
      </w:r>
      <w:r>
        <w:rPr>
          <w:rFonts w:hint="eastAsia" w:ascii="仿宋" w:hAnsi="仿宋" w:eastAsia="仿宋" w:cs="仿宋"/>
          <w:color w:val="000000" w:themeColor="text1"/>
          <w:sz w:val="28"/>
          <w:szCs w:val="28"/>
          <w:highlight w:val="none"/>
          <w:lang w:eastAsia="zh-CN"/>
          <w14:textFill>
            <w14:solidFill>
              <w14:schemeClr w14:val="tx1"/>
            </w14:solidFill>
          </w14:textFill>
        </w:rPr>
        <w:t>，对</w:t>
      </w:r>
      <w:r>
        <w:rPr>
          <w:rFonts w:hint="eastAsia" w:ascii="仿宋" w:hAnsi="仿宋" w:eastAsia="仿宋" w:cs="仿宋"/>
          <w:color w:val="000000" w:themeColor="text1"/>
          <w:sz w:val="28"/>
          <w:szCs w:val="28"/>
          <w:highlight w:val="none"/>
          <w14:textFill>
            <w14:solidFill>
              <w14:schemeClr w14:val="tx1"/>
            </w14:solidFill>
          </w14:textFill>
        </w:rPr>
        <w:t>投标文件须盖章或签名的部位加盖电子印章（单位电子公章、法定代表人电子人名章），电子印章与实物印章具有同等法律效力。</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（2）投标人应首先编制word格式投标文件，最后通过威海市国有企业阳光采购电子化服务平台的文件签章菜单的标书签章功能转换为pdf格式（</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其他pdf转换工具），之后通过签章功能在pdf文件上逐页加盖电子印章并保存到本地计算机，加盖了电子印章的pdf文件即为最终的投标文件。</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（5）可使用系统的批量盖章功能快速签章。但须逐页浏览检查并注意印章重叠及完整性。</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w:t>
      </w:r>
      <w:r>
        <w:rPr>
          <w:rFonts w:hint="eastAsia" w:ascii="仿宋" w:hAnsi="仿宋" w:eastAsia="仿宋" w:cs="仿宋"/>
          <w:b/>
          <w:bCs/>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2.数据文件（PDF格式）（第二册）1份</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w:t>
      </w:r>
      <w:r>
        <w:rPr>
          <w:rFonts w:hint="eastAsia" w:ascii="仿宋" w:hAnsi="仿宋" w:eastAsia="仿宋" w:cs="仿宋"/>
          <w:b/>
          <w:bCs/>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四、投标文件的递交</w:t>
      </w:r>
    </w:p>
    <w:p>
      <w:pPr>
        <w:keepNext w:val="0"/>
        <w:keepLines w:val="0"/>
        <w:widowControl w:val="0"/>
        <w:kinsoku/>
        <w:wordWrap/>
        <w:overflowPunct/>
        <w:topLinePunct w:val="0"/>
        <w:autoSpaceDE/>
        <w:autoSpaceDN/>
        <w:bidi w:val="0"/>
        <w:adjustRightInd/>
        <w:snapToGrid/>
        <w:spacing w:line="560" w:lineRule="exact"/>
        <w:ind w:firstLine="281" w:firstLineChars="1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（一）投标文件的密封和标记</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1.电子投标文件的密封和标记</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2.资质证明文件原件的密封和标记</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（1）投标须知前附表要求提供资质证明文件原件的，投标人应使用密封袋将资质证明文件原件密封（身份证原件除外），加盖公章并标明投标人（单位）名称、项目名称、</w:t>
      </w:r>
      <w:r>
        <w:rPr>
          <w:rFonts w:hint="eastAsia" w:ascii="仿宋" w:hAnsi="仿宋" w:eastAsia="仿宋" w:cs="仿宋"/>
          <w:color w:val="000000" w:themeColor="text1"/>
          <w:sz w:val="28"/>
          <w:szCs w:val="28"/>
          <w:highlight w:val="none"/>
          <w:lang w:eastAsia="zh-CN"/>
          <w14:textFill>
            <w14:solidFill>
              <w14:schemeClr w14:val="tx1"/>
            </w14:solidFill>
          </w14:textFill>
        </w:rPr>
        <w:t>招标编号</w:t>
      </w:r>
      <w:r>
        <w:rPr>
          <w:rFonts w:hint="eastAsia" w:ascii="仿宋" w:hAnsi="仿宋" w:eastAsia="仿宋" w:cs="仿宋"/>
          <w:color w:val="000000" w:themeColor="text1"/>
          <w:sz w:val="28"/>
          <w:szCs w:val="28"/>
          <w:highlight w:val="none"/>
          <w14:textFill>
            <w14:solidFill>
              <w14:schemeClr w14:val="tx1"/>
            </w14:solidFill>
          </w14:textFill>
        </w:rPr>
        <w:t xml:space="preserve">、所投包号以及“资质证明文件原件”字样，粘贴密封条，注明“于*年*月*日 *:*之前不准启封”（开标时间）的字样。加盖公章或由法定代表人或经其正式授权的代表在旁边签字。 </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（2）投标人按上述规定进行密封和标记后，按照招标文件的要求送达指定地点。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（3）如果未按上述规定进行密封和标记，招标公司对误投或提前启封概不负责。</w:t>
      </w:r>
    </w:p>
    <w:p>
      <w:pPr>
        <w:keepNext w:val="0"/>
        <w:keepLines w:val="0"/>
        <w:widowControl w:val="0"/>
        <w:kinsoku/>
        <w:wordWrap/>
        <w:overflowPunct/>
        <w:topLinePunct w:val="0"/>
        <w:autoSpaceDE/>
        <w:autoSpaceDN/>
        <w:bidi w:val="0"/>
        <w:adjustRightInd/>
        <w:snapToGrid/>
        <w:spacing w:line="560" w:lineRule="exact"/>
        <w:ind w:firstLine="281" w:firstLineChars="1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（二）文件递交</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bCs/>
          <w:color w:val="000000" w:themeColor="text1"/>
          <w:sz w:val="28"/>
          <w:szCs w:val="28"/>
          <w:highlight w:val="none"/>
          <w14:textFill>
            <w14:solidFill>
              <w14:schemeClr w14:val="tx1"/>
            </w14:solidFill>
          </w14:textFill>
        </w:rPr>
        <w:t>其投标将会被判定为无效。</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2.投标人须牢记投标加密密码，该密码将用于开标时解密其电子投标文件，如忘记密码或输入错误密码超过5次，其递交的电子投标文件将无法解密，导致无法提取数据和供他人阅读文件，致使其投标失败。</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3.除投标须知前附表另有规定外，招标公司拒绝接收纸质投标文件。</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4.投标人应将网上递交的已盖章未加密的数据文件和投标文件谨慎保存备份，以便启动应急开标程序时备案使用。</w:t>
      </w:r>
    </w:p>
    <w:p>
      <w:pPr>
        <w:keepNext w:val="0"/>
        <w:keepLines w:val="0"/>
        <w:widowControl w:val="0"/>
        <w:tabs>
          <w:tab w:val="left" w:pos="540"/>
        </w:tabs>
        <w:kinsoku/>
        <w:wordWrap/>
        <w:overflowPunct/>
        <w:topLinePunct w:val="0"/>
        <w:autoSpaceDE/>
        <w:autoSpaceDN/>
        <w:bidi w:val="0"/>
        <w:adjustRightInd/>
        <w:snapToGrid/>
        <w:spacing w:line="560" w:lineRule="exact"/>
        <w:ind w:firstLine="554" w:firstLineChars="197"/>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（三）投标截止期</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本次招标的投标截止期见《投标须知前附表》。</w:t>
      </w:r>
    </w:p>
    <w:p>
      <w:pPr>
        <w:keepNext w:val="0"/>
        <w:keepLines w:val="0"/>
        <w:widowControl w:val="0"/>
        <w:tabs>
          <w:tab w:val="left" w:pos="540"/>
        </w:tabs>
        <w:kinsoku/>
        <w:wordWrap/>
        <w:overflowPunct/>
        <w:topLinePunct w:val="0"/>
        <w:autoSpaceDE/>
        <w:autoSpaceDN/>
        <w:bidi w:val="0"/>
        <w:adjustRightInd/>
        <w:snapToGrid/>
        <w:spacing w:line="560" w:lineRule="exact"/>
        <w:ind w:firstLine="554" w:firstLineChars="197"/>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（四）迟交的投标文件</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威海市国有企业阳光采购电子化服务平台无法接收投标截止期后递交的电子投标文件。</w:t>
      </w:r>
    </w:p>
    <w:p>
      <w:pPr>
        <w:keepNext w:val="0"/>
        <w:keepLines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（五）投标文件的修改和撤回</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1.投标人必须在规定的投标截止期之前将修改的投标文件和数据文件上传到威海市国有企业阳光采购电子化服务平台</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在投标截止期之后，投标人不得对其投标文件做任何修改。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2.投标人在递交投标文件后，可以在投标截止期之前撤回其投标。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3.开标后不允许对投标文件做实质性修改和补充，不得撤回投标文件。</w:t>
      </w:r>
    </w:p>
    <w:p>
      <w:pPr>
        <w:keepNext w:val="0"/>
        <w:keepLines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六</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投标有效期</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1.从开标之日起，投标有效期为90天。投标有效期短于90天的，其投标为无效投标。</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特殊情况下，在投标有效期满之前，招标公司可以要求投标人延长投标有效期，投标人可以书面形式拒绝或接受上述要求。拒绝延长投标有效期的投标人有权收回投标保证金；同意延长投标有效期的投标人应当相应延长其投标保证金的有效期，但不得修改投标文件的实质性内容。</w:t>
      </w:r>
    </w:p>
    <w:p>
      <w:pPr>
        <w:keepNext w:val="0"/>
        <w:keepLines w:val="0"/>
        <w:widowControl w:val="0"/>
        <w:kinsoku/>
        <w:wordWrap/>
        <w:overflowPunct/>
        <w:topLinePunct w:val="0"/>
        <w:autoSpaceDE/>
        <w:autoSpaceDN/>
        <w:bidi w:val="0"/>
        <w:adjustRightInd/>
        <w:snapToGrid/>
        <w:spacing w:line="560" w:lineRule="exact"/>
        <w:ind w:firstLine="565" w:firstLineChars="201"/>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七</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投标保证金</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1.投标保证金金额：</w:t>
      </w:r>
      <w:r>
        <w:rPr>
          <w:rFonts w:hint="eastAsia" w:ascii="仿宋" w:hAnsi="仿宋" w:eastAsia="仿宋" w:cs="仿宋"/>
          <w:color w:val="000000" w:themeColor="text1"/>
          <w:sz w:val="28"/>
          <w:szCs w:val="28"/>
          <w:highlight w:val="none"/>
          <w:lang w:eastAsia="zh-CN"/>
          <w14:textFill>
            <w14:solidFill>
              <w14:schemeClr w14:val="tx1"/>
            </w14:solidFill>
          </w14:textFill>
        </w:rPr>
        <w:t>详见投标人须知前附表</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响应文件的投标人名称一致。</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采购项目流标的，应在确定流标之日起五个工作日内退还所有投标人的保证金。</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.有下列情况之一的，投标保证金不予返还。</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（1）投标人提供不真实资格、资质证明文件的；</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（2）在投标有效期内撤回报价的；</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（3）除因不可抗力或招标文件认可的情形以外，中标人不与招标人签订合同的；</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（4）投标人与招标人、其他投标人或者招标代理机构恶意串通的；</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（5）评审委员会认定的其他事项。</w:t>
      </w:r>
    </w:p>
    <w:p>
      <w:pPr>
        <w:keepNext w:val="0"/>
        <w:keepLines w:val="0"/>
        <w:widowControl w:val="0"/>
        <w:kinsoku/>
        <w:wordWrap/>
        <w:overflowPunct/>
        <w:topLinePunct w:val="0"/>
        <w:autoSpaceDE/>
        <w:autoSpaceDN/>
        <w:bidi w:val="0"/>
        <w:adjustRightInd/>
        <w:snapToGrid/>
        <w:spacing w:line="560" w:lineRule="exact"/>
        <w:ind w:firstLine="562" w:firstLineChars="201"/>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pPr>
        <w:keepNext w:val="0"/>
        <w:keepLines w:val="0"/>
        <w:widowControl w:val="0"/>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本项目投标保证金收取情况见《投标须知前附表》。</w:t>
      </w:r>
    </w:p>
    <w:p>
      <w:pPr>
        <w:keepNext w:val="0"/>
        <w:keepLines w:val="0"/>
        <w:widowControl w:val="0"/>
        <w:numPr>
          <w:ilvl w:val="0"/>
          <w:numId w:val="4"/>
        </w:numPr>
        <w:kinsoku/>
        <w:wordWrap/>
        <w:overflowPunct/>
        <w:topLinePunct w:val="0"/>
        <w:autoSpaceDE/>
        <w:autoSpaceDN/>
        <w:bidi w:val="0"/>
        <w:adjustRightInd/>
        <w:snapToGrid/>
        <w:spacing w:line="560" w:lineRule="exact"/>
        <w:ind w:firstLine="562" w:firstLineChars="200"/>
        <w:jc w:val="left"/>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代理服务费</w:t>
      </w:r>
    </w:p>
    <w:p>
      <w:pPr>
        <w:keepNext w:val="0"/>
        <w:keepLines w:val="0"/>
        <w:widowControl w:val="0"/>
        <w:numPr>
          <w:ilvl w:val="0"/>
          <w:numId w:val="0"/>
        </w:numPr>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bCs/>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以</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金额为基数，按照山东省招标投标协会鲁招协</w:t>
      </w:r>
      <w:r>
        <w:rPr>
          <w:rFonts w:hint="eastAsia" w:ascii="仿宋" w:hAnsi="仿宋" w:eastAsia="仿宋" w:cs="仿宋"/>
          <w:color w:val="000000" w:themeColor="text1"/>
          <w:sz w:val="28"/>
          <w:szCs w:val="28"/>
          <w:highlight w:val="none"/>
          <w:lang w:eastAsia="zh-CN"/>
          <w14:textFill>
            <w14:solidFill>
              <w14:schemeClr w14:val="tx1"/>
            </w14:solidFill>
          </w14:textFill>
        </w:rPr>
        <w:t>〔2024〕13号</w:t>
      </w:r>
      <w:r>
        <w:rPr>
          <w:rFonts w:hint="eastAsia" w:ascii="仿宋" w:hAnsi="仿宋" w:eastAsia="仿宋" w:cs="仿宋"/>
          <w:color w:val="000000" w:themeColor="text1"/>
          <w:sz w:val="28"/>
          <w:szCs w:val="28"/>
          <w:highlight w:val="none"/>
          <w14:textFill>
            <w14:solidFill>
              <w14:schemeClr w14:val="tx1"/>
            </w14:solidFill>
          </w14:textFill>
        </w:rPr>
        <w:t>文规定标准的60%收取，由</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中标人</w:t>
      </w:r>
      <w:r>
        <w:rPr>
          <w:rFonts w:hint="eastAsia" w:ascii="仿宋" w:hAnsi="仿宋" w:eastAsia="仿宋" w:cs="仿宋"/>
          <w:color w:val="000000" w:themeColor="text1"/>
          <w:sz w:val="28"/>
          <w:szCs w:val="28"/>
          <w:highlight w:val="none"/>
          <w14:textFill>
            <w14:solidFill>
              <w14:schemeClr w14:val="tx1"/>
            </w14:solidFill>
          </w14:textFill>
        </w:rPr>
        <w:t>在收到</w:t>
      </w:r>
      <w:r>
        <w:rPr>
          <w:rFonts w:hint="eastAsia" w:ascii="仿宋" w:hAnsi="仿宋" w:eastAsia="仿宋" w:cs="仿宋"/>
          <w:color w:val="000000" w:themeColor="text1"/>
          <w:sz w:val="28"/>
          <w:szCs w:val="28"/>
          <w:highlight w:val="none"/>
          <w:lang w:val="en-US" w:eastAsia="zh-CN"/>
          <w14:textFill>
            <w14:solidFill>
              <w14:schemeClr w14:val="tx1"/>
            </w14:solidFill>
          </w14:textFill>
        </w:rPr>
        <w:t>中标</w:t>
      </w:r>
      <w:r>
        <w:rPr>
          <w:rFonts w:hint="eastAsia" w:ascii="仿宋" w:hAnsi="仿宋" w:eastAsia="仿宋" w:cs="仿宋"/>
          <w:color w:val="000000" w:themeColor="text1"/>
          <w:sz w:val="28"/>
          <w:szCs w:val="28"/>
          <w:highlight w:val="none"/>
          <w14:textFill>
            <w14:solidFill>
              <w14:schemeClr w14:val="tx1"/>
            </w14:solidFill>
          </w14:textFill>
        </w:rPr>
        <w:t>通知书的同时向</w:t>
      </w:r>
      <w:r>
        <w:rPr>
          <w:rFonts w:hint="eastAsia" w:ascii="仿宋" w:hAnsi="仿宋" w:eastAsia="仿宋" w:cs="仿宋"/>
          <w:color w:val="000000" w:themeColor="text1"/>
          <w:sz w:val="28"/>
          <w:szCs w:val="28"/>
          <w:highlight w:val="none"/>
          <w:lang w:val="en-US" w:eastAsia="zh-CN"/>
          <w14:textFill>
            <w14:solidFill>
              <w14:schemeClr w14:val="tx1"/>
            </w14:solidFill>
          </w14:textFill>
        </w:rPr>
        <w:t>代理</w:t>
      </w:r>
      <w:r>
        <w:rPr>
          <w:rFonts w:hint="eastAsia" w:ascii="仿宋" w:hAnsi="仿宋" w:eastAsia="仿宋" w:cs="仿宋"/>
          <w:color w:val="000000" w:themeColor="text1"/>
          <w:sz w:val="28"/>
          <w:szCs w:val="28"/>
          <w:highlight w:val="none"/>
          <w14:textFill>
            <w14:solidFill>
              <w14:schemeClr w14:val="tx1"/>
            </w14:solidFill>
          </w14:textFill>
        </w:rPr>
        <w:t>公司全额交纳。</w:t>
      </w:r>
    </w:p>
    <w:p>
      <w:pPr>
        <w:tabs>
          <w:tab w:val="right" w:pos="7404"/>
        </w:tabs>
        <w:jc w:val="center"/>
        <w:rPr>
          <w:rFonts w:hint="eastAsia" w:ascii="仿宋" w:hAnsi="仿宋" w:eastAsia="仿宋" w:cs="仿宋"/>
          <w:b/>
          <w:bCs/>
          <w:color w:val="000000" w:themeColor="text1"/>
          <w:sz w:val="44"/>
          <w:szCs w:val="44"/>
          <w:highlight w:val="none"/>
          <w14:textFill>
            <w14:solidFill>
              <w14:schemeClr w14:val="tx1"/>
            </w14:solidFill>
          </w14:textFill>
        </w:rPr>
      </w:pPr>
    </w:p>
    <w:p>
      <w:pPr>
        <w:pStyle w:val="10"/>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widowControl w:val="0"/>
        <w:tabs>
          <w:tab w:val="right" w:pos="7404"/>
        </w:tabs>
        <w:kinsoku/>
        <w:wordWrap/>
        <w:overflowPunct/>
        <w:topLinePunct w:val="0"/>
        <w:autoSpaceDE/>
        <w:autoSpaceDN/>
        <w:bidi w:val="0"/>
        <w:adjustRightInd/>
        <w:snapToGrid/>
        <w:jc w:val="center"/>
        <w:textAlignment w:val="auto"/>
        <w:outlineLvl w:val="0"/>
        <w:rPr>
          <w:rFonts w:hint="eastAsia" w:ascii="仿宋" w:hAnsi="仿宋" w:eastAsia="仿宋" w:cs="仿宋"/>
          <w:color w:val="000000" w:themeColor="text1"/>
          <w:sz w:val="44"/>
          <w:szCs w:val="44"/>
          <w:highlight w:val="none"/>
          <w14:textFill>
            <w14:solidFill>
              <w14:schemeClr w14:val="tx1"/>
            </w14:solidFill>
          </w14:textFill>
        </w:rPr>
      </w:pPr>
      <w:bookmarkStart w:id="17" w:name="_Toc879"/>
      <w:r>
        <w:rPr>
          <w:rFonts w:hint="eastAsia" w:ascii="仿宋" w:hAnsi="仿宋" w:eastAsia="仿宋" w:cs="仿宋"/>
          <w:b/>
          <w:bCs/>
          <w:color w:val="000000" w:themeColor="text1"/>
          <w:sz w:val="44"/>
          <w:szCs w:val="44"/>
          <w:highlight w:val="none"/>
          <w14:textFill>
            <w14:solidFill>
              <w14:schemeClr w14:val="tx1"/>
            </w14:solidFill>
          </w14:textFill>
        </w:rPr>
        <w:t>第三部分  开标、评标、定标</w:t>
      </w:r>
      <w:bookmarkEnd w:id="17"/>
    </w:p>
    <w:p>
      <w:pPr>
        <w:keepNext w:val="0"/>
        <w:keepLines w:val="0"/>
        <w:pageBreakBefore w:val="0"/>
        <w:widowControl w:val="0"/>
        <w:tabs>
          <w:tab w:val="left" w:pos="540"/>
        </w:tabs>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一、开标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1.投标截止时间结束后，投标人不足3家的不得开标。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招标公司在招标公告规定的时间和地点组织开标。到现场开标的投标人须携带CA锁和笔记本电脑，以便进行开标操作。不到现场开标的投标人需提前准备已配置好环境的电脑，在规定的时间进行远程开标的各项操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3.现场开标和远程开标的投标人代表应在签到表格相应</w:t>
      </w:r>
      <w:r>
        <w:rPr>
          <w:rFonts w:hint="eastAsia" w:ascii="仿宋" w:hAnsi="仿宋" w:eastAsia="仿宋" w:cs="仿宋"/>
          <w:color w:val="000000" w:themeColor="text1"/>
          <w:sz w:val="28"/>
          <w:szCs w:val="28"/>
          <w:highlight w:val="none"/>
          <w:lang w:eastAsia="zh-CN"/>
          <w14:textFill>
            <w14:solidFill>
              <w14:schemeClr w14:val="tx1"/>
            </w14:solidFill>
          </w14:textFill>
        </w:rPr>
        <w:t>位置</w:t>
      </w:r>
      <w:r>
        <w:rPr>
          <w:rFonts w:hint="eastAsia" w:ascii="仿宋" w:hAnsi="仿宋" w:eastAsia="仿宋" w:cs="仿宋"/>
          <w:color w:val="000000" w:themeColor="text1"/>
          <w:sz w:val="28"/>
          <w:szCs w:val="28"/>
          <w:highlight w:val="none"/>
          <w14:textFill>
            <w14:solidFill>
              <w14:schemeClr w14:val="tx1"/>
            </w14:solidFill>
          </w14:textFill>
        </w:rPr>
        <w:t>加盖CA锁中的法定代表人电子人名章以证明其出席</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在开标时间前未完成签到的</w:t>
      </w:r>
      <w:r>
        <w:rPr>
          <w:rFonts w:hint="eastAsia" w:ascii="仿宋" w:hAnsi="仿宋" w:eastAsia="仿宋" w:cs="仿宋"/>
          <w:color w:val="000000" w:themeColor="text1"/>
          <w:sz w:val="28"/>
          <w:szCs w:val="28"/>
          <w:highlight w:val="none"/>
          <w:lang w:eastAsia="zh-CN"/>
          <w14:textFill>
            <w14:solidFill>
              <w14:schemeClr w14:val="tx1"/>
            </w14:solidFill>
          </w14:textFill>
        </w:rPr>
        <w:t>，将</w:t>
      </w:r>
      <w:r>
        <w:rPr>
          <w:rFonts w:hint="eastAsia" w:ascii="仿宋" w:hAnsi="仿宋" w:eastAsia="仿宋" w:cs="仿宋"/>
          <w:color w:val="000000" w:themeColor="text1"/>
          <w:sz w:val="28"/>
          <w:szCs w:val="28"/>
          <w:highlight w:val="none"/>
          <w14:textFill>
            <w14:solidFill>
              <w14:schemeClr w14:val="tx1"/>
            </w14:solidFill>
          </w14:textFill>
        </w:rPr>
        <w:t>会被</w:t>
      </w:r>
      <w:r>
        <w:rPr>
          <w:rFonts w:hint="eastAsia" w:ascii="仿宋" w:hAnsi="仿宋" w:eastAsia="仿宋" w:cs="仿宋"/>
          <w:b/>
          <w:bCs/>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bCs/>
          <w:color w:val="000000" w:themeColor="text1"/>
          <w:sz w:val="28"/>
          <w:szCs w:val="28"/>
          <w:highlight w:val="none"/>
          <w14:textFill>
            <w14:solidFill>
              <w14:schemeClr w14:val="tx1"/>
            </w14:solidFill>
          </w14:textFill>
        </w:rPr>
        <w:t>无效投标。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5.开标过程应当由招标公司负责记录，最终形成开标一览表并由各投标人代表签字或盖章确认。</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6.投标人代表对开标过程和开标记录有疑义，以及认为采购人、</w:t>
      </w:r>
      <w:r>
        <w:rPr>
          <w:rFonts w:hint="eastAsia" w:ascii="仿宋" w:hAnsi="仿宋" w:eastAsia="仿宋" w:cs="仿宋"/>
          <w:color w:val="000000" w:themeColor="text1"/>
          <w:sz w:val="28"/>
          <w:szCs w:val="28"/>
          <w:highlight w:val="none"/>
          <w:lang w:eastAsia="zh-CN"/>
          <w14:textFill>
            <w14:solidFill>
              <w14:schemeClr w14:val="tx1"/>
            </w14:solidFill>
          </w14:textFill>
        </w:rPr>
        <w:t>威海正华工程咨询有限公司</w:t>
      </w:r>
      <w:r>
        <w:rPr>
          <w:rFonts w:hint="eastAsia" w:ascii="仿宋" w:hAnsi="仿宋" w:eastAsia="仿宋" w:cs="仿宋"/>
          <w:color w:val="000000" w:themeColor="text1"/>
          <w:sz w:val="28"/>
          <w:szCs w:val="28"/>
          <w:highlight w:val="none"/>
          <w14:textFill>
            <w14:solidFill>
              <w14:schemeClr w14:val="tx1"/>
            </w14:solidFill>
          </w14:textFill>
        </w:rPr>
        <w:t>相关工作人员有需要回避的情形的，应当场提出询问或者回避申请。采购人、招标公司对投标人代表提出的询问或者回避申请应当及时处理。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7.录音、录像：威海市公共资源交易中心负责从递交投标文件开始到定标结束全过程的录音、录像工作，确保声音清楚、图像清晰、内容无遗漏。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8.评审过程中，如遇特殊情况，服从公共资源交易中心场地调配，并遵守相关规章制度。</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9.对投标文件报价出现前后不一致的，按以下规定修正：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（1）“投标（报价）一览表”的报价与“报价明细表”的报价不一致的，以“投标（报价）一览表”的报价为准；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10.开标程序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w:t>
      </w:r>
      <w:r>
        <w:rPr>
          <w:rFonts w:hint="eastAsia" w:ascii="仿宋" w:hAnsi="仿宋" w:eastAsia="仿宋" w:cs="仿宋"/>
          <w:color w:val="000000" w:themeColor="text1"/>
          <w:sz w:val="28"/>
          <w:szCs w:val="28"/>
          <w:highlight w:val="none"/>
          <w:lang w:eastAsia="zh-CN"/>
          <w14:textFill>
            <w14:solidFill>
              <w14:schemeClr w14:val="tx1"/>
            </w14:solidFill>
          </w14:textFill>
        </w:rPr>
        <w:t>异</w:t>
      </w:r>
      <w:r>
        <w:rPr>
          <w:rFonts w:hint="eastAsia" w:ascii="仿宋" w:hAnsi="仿宋" w:eastAsia="仿宋" w:cs="仿宋"/>
          <w:color w:val="000000" w:themeColor="text1"/>
          <w:sz w:val="28"/>
          <w:szCs w:val="28"/>
          <w:highlight w:val="none"/>
          <w14:textFill>
            <w14:solidFill>
              <w14:schemeClr w14:val="tx1"/>
            </w14:solidFill>
          </w14:textFill>
        </w:rPr>
        <w:t>议。</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（5）投标人可使用电子交易系统“网上开标”中的“看直播”功能参与开标程序。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11.应急开标程序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电子开标过程中如出现下列情况，导致系统无法正常运行，或者无法保证开标过程的公平、公正和信息安全时，经与行政监督部门沟通后可启动应急开标程序。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（1）对未在系统中开标的可暂停开标；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（2）对已在系统中开标的应停止，等待系统恢复正常后再组织进行开标；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w:t>
      </w:r>
      <w:r>
        <w:rPr>
          <w:rFonts w:hint="eastAsia" w:ascii="仿宋" w:hAnsi="仿宋" w:eastAsia="仿宋" w:cs="仿宋"/>
          <w:color w:val="000000" w:themeColor="text1"/>
          <w:sz w:val="28"/>
          <w:szCs w:val="28"/>
          <w:highlight w:val="none"/>
          <w:lang w:eastAsia="zh-CN"/>
          <w14:textFill>
            <w14:solidFill>
              <w14:schemeClr w14:val="tx1"/>
            </w14:solidFill>
          </w14:textFill>
        </w:rPr>
        <w:t>系统故障</w:t>
      </w:r>
      <w:r>
        <w:rPr>
          <w:rFonts w:hint="eastAsia" w:ascii="仿宋" w:hAnsi="仿宋" w:eastAsia="仿宋" w:cs="仿宋"/>
          <w:color w:val="000000" w:themeColor="text1"/>
          <w:sz w:val="28"/>
          <w:szCs w:val="28"/>
          <w:highlight w:val="none"/>
          <w14:textFill>
            <w14:solidFill>
              <w14:schemeClr w14:val="tx1"/>
            </w14:solidFill>
          </w14:textFill>
        </w:rPr>
        <w:t>导致）的投标人，通过系统的备案功能进行文件上传备案</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对备案文件与网上递交的文件不一致（系统通过数字签名进行验证）或备案文件未按照本文件的要求进行编制、签署</w:t>
      </w:r>
      <w:r>
        <w:rPr>
          <w:rFonts w:hint="eastAsia" w:ascii="仿宋" w:hAnsi="仿宋" w:eastAsia="仿宋" w:cs="仿宋"/>
          <w:color w:val="000000" w:themeColor="text1"/>
          <w:sz w:val="28"/>
          <w:szCs w:val="28"/>
          <w:highlight w:val="none"/>
          <w:lang w:eastAsia="zh-CN"/>
          <w14:textFill>
            <w14:solidFill>
              <w14:schemeClr w14:val="tx1"/>
            </w14:solidFill>
          </w14:textFill>
        </w:rPr>
        <w:t>，导致系统</w:t>
      </w:r>
      <w:r>
        <w:rPr>
          <w:rFonts w:hint="eastAsia" w:ascii="仿宋" w:hAnsi="仿宋" w:eastAsia="仿宋" w:cs="仿宋"/>
          <w:color w:val="000000" w:themeColor="text1"/>
          <w:sz w:val="28"/>
          <w:szCs w:val="28"/>
          <w:highlight w:val="none"/>
          <w14:textFill>
            <w14:solidFill>
              <w14:schemeClr w14:val="tx1"/>
            </w14:solidFill>
          </w14:textFill>
        </w:rPr>
        <w:t>无法备案的投标人</w:t>
      </w:r>
      <w:r>
        <w:rPr>
          <w:rFonts w:hint="eastAsia" w:ascii="仿宋" w:hAnsi="仿宋" w:eastAsia="仿宋" w:cs="仿宋"/>
          <w:color w:val="000000" w:themeColor="text1"/>
          <w:sz w:val="28"/>
          <w:szCs w:val="28"/>
          <w:highlight w:val="none"/>
          <w:lang w:eastAsia="zh-CN"/>
          <w14:textFill>
            <w14:solidFill>
              <w14:schemeClr w14:val="tx1"/>
            </w14:solidFill>
          </w14:textFill>
        </w:rPr>
        <w:t>，作</w:t>
      </w:r>
      <w:r>
        <w:rPr>
          <w:rFonts w:hint="eastAsia" w:ascii="仿宋" w:hAnsi="仿宋" w:eastAsia="仿宋" w:cs="仿宋"/>
          <w:b/>
          <w:bCs/>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bCs/>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12.应急开标电子邮件递交规定</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t>
      </w:r>
      <w:r>
        <w:rPr>
          <w:rFonts w:hint="eastAsia" w:ascii="仿宋" w:hAnsi="仿宋" w:eastAsia="仿宋" w:cs="仿宋"/>
          <w:color w:val="000000" w:themeColor="text1"/>
          <w:sz w:val="28"/>
          <w:szCs w:val="28"/>
          <w:highlight w:val="none"/>
          <w:lang w:eastAsia="zh-CN"/>
          <w14:textFill>
            <w14:solidFill>
              <w14:schemeClr w14:val="tx1"/>
            </w14:solidFill>
          </w14:textFill>
        </w:rPr>
        <w:t>whzhenghua@163.com</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递交时间：以电子邮件或电话通知的时间为准；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w:t>
      </w:r>
      <w:r>
        <w:rPr>
          <w:rFonts w:hint="eastAsia" w:ascii="仿宋" w:hAnsi="仿宋" w:eastAsia="仿宋" w:cs="仿宋"/>
          <w:color w:val="000000" w:themeColor="text1"/>
          <w:sz w:val="28"/>
          <w:szCs w:val="28"/>
          <w:highlight w:val="none"/>
          <w:lang w:eastAsia="zh-CN"/>
          <w14:textFill>
            <w14:solidFill>
              <w14:schemeClr w14:val="tx1"/>
            </w14:solidFill>
          </w14:textFill>
        </w:rPr>
        <w:t>招标编号</w:t>
      </w:r>
      <w:r>
        <w:rPr>
          <w:rFonts w:hint="eastAsia" w:ascii="仿宋" w:hAnsi="仿宋" w:eastAsia="仿宋" w:cs="仿宋"/>
          <w:color w:val="000000" w:themeColor="text1"/>
          <w:sz w:val="28"/>
          <w:szCs w:val="28"/>
          <w:highlight w:val="none"/>
          <w14:textFill>
            <w14:solidFill>
              <w14:schemeClr w14:val="tx1"/>
            </w14:solidFill>
          </w14:textFill>
        </w:rPr>
        <w:t>、投标人名称；</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文件，导致投标无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13.启动电子邮件开标流程</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投标人收到通知后在规定时间内通过电子邮件递交投标文件（在非应急开标期间招标公司不接受、不处理任何通过电子邮件提交的投标文件）；</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递交截止时间到，工作人员开始下载投标文件，将投标报价形成开标报告并邮件回复各投标人；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二、评标</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一</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评标委员会</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司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2.招标人员及相关人员与投标人有利害关系的应当回避。曾参与项目征询意见或论证的专家，不得再作为评审专家参加评审。招标人和招标代理机构工作人员离职或退休不满三年的，不能作为专家参加评审工作。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3.评标委员会成员职责：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（6）配合主管部门处理投标人投诉；</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（7）向招标人反映评审工作中的问题，提出意见和建议。</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4.评标委员会集体职责：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（2）配合招标人和招标代理机构答复投标人的质疑；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（4）必要时，向投标人解释评审结果；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（5）向主管部门或者有关部门报告非法干预评审工作的行为。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5.招标代理机构或招标人的职责：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（1）核对评标委员会专家身份，对评标委员会专家在采购活动中的职责履行情况予以记录，并及时将有关违法违规行为向主管部门报告；</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（5）在评审期间采取必要的通讯管理措施，保证评审活动不受外界干扰；</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（6）根据评标委员会的要求介绍阳光国企采购相关政策法规、招标文件；</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（10）处理与评标有关的其他事项。</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招标人可以在评标前说明项目背景和采购需求，说明内容不得含有歧视性、倾向性意见，不得超出招标文件所述范围。说明应当提交书面材料，并随招标文件一并存档。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6.评标委员会采用集中办公、封闭方式进行评审。评标前，招标代理机构工作人员向评标委员会成员宣布评标纪律和工作规则。评标委员会成员签署《无利害关系声明表》，并遵照执行。</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7.评标委员会成员对与自己有利害关系的评标项目应当主动提出回避。</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8.评标委员会将按照招标文件确定的评标原则和方法进行评标。评标委员会对投标文件的评审内容分为资格性审查、符合性审查、商务评议、技术评议和价格评议。</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9.评标委员会独立履行下列职责：</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10.评标中因评标委员会成员缺席、回避或者健康等特殊原因导致评标委员会组成不符合本办法规定的，招标人应当依法补足后继续评标。被更换的评标委员会成员所作出的评标意见无效。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二</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评标原则</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“公平、公正、科学、择优”为本次评标的基本原则，评标委员会将按照这一原则的要求，公正、平等地对待各投标人，同时，在评标时恪守以下原则：</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1.客观性原则：评标委员会将严格按照招标文件的要求，对投标人的投标文件进行认真评审，评标委员会对投标文件的评审仅依据投标文件本身，而不依靠投标文件以外的任何因素。</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2.统一性原则：评标委员会将按照统一的评标原则和评标方法，采用统一标准进行评标。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3.独立性原则：评标工作在评标委员会内部独立进行，不受外界任何因素的干扰和影响。</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4.保密性原则：评标委员会及熟知情况的有关工作人员必须对每位评委的评标意见和投标人的商业秘密严格保密，不得外泄。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5.综合性原则：评标委员会将综合分析、评审投标人的各项指标，而不以单项指标的优劣评定出中标人。</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三</w:t>
      </w:r>
      <w:r>
        <w:rPr>
          <w:rFonts w:hint="eastAsia" w:ascii="仿宋" w:hAnsi="仿宋" w:eastAsia="仿宋" w:cs="仿宋"/>
          <w:b/>
          <w:bCs/>
          <w:color w:val="000000" w:themeColor="text1"/>
          <w:sz w:val="28"/>
          <w:szCs w:val="28"/>
          <w:highlight w:val="none"/>
          <w:lang w:eastAsia="zh-CN"/>
          <w14:textFill>
            <w14:solidFill>
              <w14:schemeClr w14:val="tx1"/>
            </w14:solidFill>
          </w14:textFill>
        </w:rPr>
        <w:t>）</w:t>
      </w:r>
      <w:r>
        <w:rPr>
          <w:rFonts w:hint="eastAsia" w:ascii="仿宋" w:hAnsi="仿宋" w:eastAsia="仿宋" w:cs="仿宋"/>
          <w:b/>
          <w:bCs/>
          <w:color w:val="000000" w:themeColor="text1"/>
          <w:sz w:val="28"/>
          <w:szCs w:val="28"/>
          <w:highlight w:val="none"/>
          <w14:textFill>
            <w14:solidFill>
              <w14:schemeClr w14:val="tx1"/>
            </w14:solidFill>
          </w14:textFill>
        </w:rPr>
        <w:t>评标程序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评标委员会将按照招标文件的规定对投标文件进行资格性和符合性审查，以确定投标文件的有效性。</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1.资格性审查。在采购项目开标结束后</w:t>
      </w:r>
      <w:r>
        <w:rPr>
          <w:rFonts w:hint="eastAsia" w:ascii="仿宋" w:hAnsi="仿宋" w:eastAsia="仿宋" w:cs="仿宋"/>
          <w:color w:val="000000" w:themeColor="text1"/>
          <w:sz w:val="28"/>
          <w:szCs w:val="28"/>
          <w:highlight w:val="none"/>
          <w:lang w:eastAsia="zh-CN"/>
          <w14:textFill>
            <w14:solidFill>
              <w14:schemeClr w14:val="tx1"/>
            </w14:solidFill>
          </w14:textFill>
        </w:rPr>
        <w:t>，评标委员会</w:t>
      </w:r>
      <w:r>
        <w:rPr>
          <w:rFonts w:hint="eastAsia" w:ascii="仿宋" w:hAnsi="仿宋" w:eastAsia="仿宋" w:cs="仿宋"/>
          <w:color w:val="000000" w:themeColor="text1"/>
          <w:sz w:val="28"/>
          <w:szCs w:val="28"/>
          <w:highlight w:val="none"/>
          <w14:textFill>
            <w14:solidFill>
              <w14:schemeClr w14:val="tx1"/>
            </w14:solidFill>
          </w14:textFill>
        </w:rPr>
        <w:t>应当依照有关法律和招标文件的规定对投标人的资格进行审查。在资格性</w:t>
      </w:r>
      <w:r>
        <w:rPr>
          <w:rFonts w:hint="eastAsia" w:ascii="仿宋" w:hAnsi="仿宋" w:eastAsia="仿宋" w:cs="仿宋"/>
          <w:color w:val="000000" w:themeColor="text1"/>
          <w:sz w:val="28"/>
          <w:szCs w:val="28"/>
          <w:highlight w:val="none"/>
          <w:lang w:eastAsia="zh-CN"/>
          <w14:textFill>
            <w14:solidFill>
              <w14:schemeClr w14:val="tx1"/>
            </w14:solidFill>
          </w14:textFill>
        </w:rPr>
        <w:t>审查</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如有下列情况之一的，视为非实质性响应，为无效投标：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（1）单位负责人为同一人或者存在直接控股、管理关系的不同投标人的；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（2）投标人资格证明文件不满足招标文件要求和过期失效的。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符合性审查。评标委员会应当对符合资格的投标人的投标文件进行符合性审查，以确定其是否满足招标文件的实质性要求。评标委员会决定投标的响应性只根据投标文件本身的内容，而不依据外部的证据。在符合性</w:t>
      </w:r>
      <w:r>
        <w:rPr>
          <w:rFonts w:hint="eastAsia" w:ascii="仿宋" w:hAnsi="仿宋" w:eastAsia="仿宋" w:cs="仿宋"/>
          <w:color w:val="000000" w:themeColor="text1"/>
          <w:sz w:val="28"/>
          <w:szCs w:val="28"/>
          <w:highlight w:val="none"/>
          <w:lang w:eastAsia="zh-CN"/>
          <w14:textFill>
            <w14:solidFill>
              <w14:schemeClr w14:val="tx1"/>
            </w14:solidFill>
          </w14:textFill>
        </w:rPr>
        <w:t>审查</w:t>
      </w:r>
      <w:r>
        <w:rPr>
          <w:rFonts w:hint="eastAsia" w:ascii="仿宋" w:hAnsi="仿宋" w:eastAsia="仿宋" w:cs="仿宋"/>
          <w:color w:val="000000" w:themeColor="text1"/>
          <w:sz w:val="28"/>
          <w:szCs w:val="28"/>
          <w:highlight w:val="none"/>
          <w14:textFill>
            <w14:solidFill>
              <w14:schemeClr w14:val="tx1"/>
            </w14:solidFill>
          </w14:textFill>
        </w:rPr>
        <w:t>时</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如有不满足下列情况之一的，经评标委员会认定，视为非实质性响应，为无效投标：</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具体内容详见《投标须知》-《实质性条款一览表》中符合性审查条件。</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3.投标人有下列情形之一的，视为投标人串通投标，其投标无效：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（1）不同投标人的投标文件由同一单位或者个人编制的；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（2）不同投标人使用同一个投标单位或者同一个自然人的IP地址、设备下载采购文件或者制作、上传投标文件的；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（3）不同投标人委托同一单位或者个人办理投标事宜；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（4）不同投标人的投标文件载明的项目管理成员或者联系人员为同一人；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（5）不同投标人的投标文件重要内容异常一致</w:t>
      </w:r>
      <w:r>
        <w:rPr>
          <w:rFonts w:hint="eastAsia" w:ascii="仿宋" w:hAnsi="仿宋" w:eastAsia="仿宋" w:cs="仿宋"/>
          <w:color w:val="000000" w:themeColor="text1"/>
          <w:sz w:val="28"/>
          <w:szCs w:val="28"/>
          <w:highlight w:val="none"/>
          <w:lang w:eastAsia="zh-CN"/>
          <w14:textFill>
            <w14:solidFill>
              <w14:schemeClr w14:val="tx1"/>
            </w14:solidFill>
          </w14:textFill>
        </w:rPr>
        <w:t>，或者</w:t>
      </w:r>
      <w:r>
        <w:rPr>
          <w:rFonts w:hint="eastAsia" w:ascii="仿宋" w:hAnsi="仿宋" w:eastAsia="仿宋" w:cs="仿宋"/>
          <w:color w:val="000000" w:themeColor="text1"/>
          <w:sz w:val="28"/>
          <w:szCs w:val="28"/>
          <w:highlight w:val="none"/>
          <w14:textFill>
            <w14:solidFill>
              <w14:schemeClr w14:val="tx1"/>
            </w14:solidFill>
          </w14:textFill>
        </w:rPr>
        <w:t>投标报价呈现规律性差异；</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（6）不同投标人编制的投标文件存在两处以上错误一致的；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（7）不同投标人的投标文件相互混装；</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（8）不同投标人的投标保证金从同一单位或者个人的账户转出</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（9）不同投标人制作的电子投标文件经系统审查存在cpu编码、硬盘编码及MAC地址三项编码均相同的。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4.出现下列情形之一的，视为对招标文件未做出实质性响应，按照无效投标处理。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（1）投标文件不完整的；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（2）资质、资格证明文件不完整或不符合要求的；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（3）投标文件未按规定签署及盖章的；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（4）投标人的法定代表人或授权代表不在规定时间内答疑或澄清的；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（5）投标有效期比招标文件规定短的；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（6）技术、实施方案不能满足招标文件要求的；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（7）不同供应商单位负责人为同一人或者存在直接控股、管理关系的；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（8）评标委员会认为不符合招标文件其他实质性要求或法律规定的；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（9）评标委员会认为投标人的报价明显低于其他通过符合性审查投标人的报价，有可能影响产品质量或者不能诚信履约的。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5.属于无效投标的，投标人不能通过修正或</w:t>
      </w:r>
      <w:r>
        <w:rPr>
          <w:rFonts w:hint="eastAsia" w:ascii="仿宋" w:hAnsi="仿宋" w:eastAsia="仿宋" w:cs="仿宋"/>
          <w:color w:val="000000" w:themeColor="text1"/>
          <w:sz w:val="28"/>
          <w:szCs w:val="28"/>
          <w:highlight w:val="none"/>
          <w:lang w:eastAsia="zh-CN"/>
          <w14:textFill>
            <w14:solidFill>
              <w14:schemeClr w14:val="tx1"/>
            </w14:solidFill>
          </w14:textFill>
        </w:rPr>
        <w:t>撤销</w:t>
      </w:r>
      <w:r>
        <w:rPr>
          <w:rFonts w:hint="eastAsia" w:ascii="仿宋" w:hAnsi="仿宋" w:eastAsia="仿宋" w:cs="仿宋"/>
          <w:color w:val="000000" w:themeColor="text1"/>
          <w:sz w:val="28"/>
          <w:szCs w:val="28"/>
          <w:highlight w:val="none"/>
          <w14:textFill>
            <w14:solidFill>
              <w14:schemeClr w14:val="tx1"/>
            </w14:solidFill>
          </w14:textFill>
        </w:rPr>
        <w:t>投标文件中不符合之处而成为实质性响应的投标，招标公司将通知投标人，并说明无效投标理由；属于有效投标文件的，将进行下一轮次的询标和澄清。</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.询标和澄清</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.比较与评价</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评标委员会按招标文件中规定的评标方法和评标标准对有效投标文件的商务和技术</w:t>
      </w:r>
      <w:r>
        <w:rPr>
          <w:rFonts w:hint="eastAsia" w:ascii="仿宋" w:hAnsi="仿宋" w:eastAsia="仿宋" w:cs="仿宋"/>
          <w:color w:val="000000" w:themeColor="text1"/>
          <w:sz w:val="28"/>
          <w:szCs w:val="28"/>
          <w:highlight w:val="none"/>
          <w:lang w:eastAsia="zh-CN"/>
          <w14:textFill>
            <w14:solidFill>
              <w14:schemeClr w14:val="tx1"/>
            </w14:solidFill>
          </w14:textFill>
        </w:rPr>
        <w:t>部分进行</w:t>
      </w:r>
      <w:r>
        <w:rPr>
          <w:rFonts w:hint="eastAsia" w:ascii="仿宋" w:hAnsi="仿宋" w:eastAsia="仿宋" w:cs="仿宋"/>
          <w:color w:val="000000" w:themeColor="text1"/>
          <w:sz w:val="28"/>
          <w:szCs w:val="28"/>
          <w:highlight w:val="none"/>
          <w14:textFill>
            <w14:solidFill>
              <w14:schemeClr w14:val="tx1"/>
            </w14:solidFill>
          </w14:textFill>
        </w:rPr>
        <w:t>评分，综合比较和评价，按综合得分高低列出中标候选人排序表，若总分相同，以报价得分高的排前；若总分、价格得分都相同，则以技术方案得分高的排前。</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（1）评审采用百分制。评标委员会各成员分别独立对实质上响应投标文件的投标人进行逐项评价打分，对评标委员会各成员每一因素的打分汇总后的得分为投标人的得分，汇总得分保留两位小数。</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（2）评标委员会只对确定为实质响应招标文件要求的投标文件进行评价和比较。必要时需标明评审理由。</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（3）招标公司工作人员负责复核、统计评标委员会成员的评审情况，发现评审意见有失公正时，提请该评标委员会成员修改评审意见，并形成书面意见备查。</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（4）评审时除考虑投标人的报价之外，还将考虑以下因素：</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①投标文件的响应状况（包括是否按照招标文件要求制作）；</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②招标文件规定的其它评审因素。</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（5）评标委员会认为投标人的报价明显低于其他通过符合性审</w:t>
      </w:r>
      <w:r>
        <w:rPr>
          <w:rFonts w:hint="eastAsia" w:ascii="仿宋" w:hAnsi="仿宋" w:eastAsia="仿宋" w:cs="仿宋"/>
          <w:color w:val="000000" w:themeColor="text1"/>
          <w:sz w:val="28"/>
          <w:szCs w:val="28"/>
          <w:highlight w:val="none"/>
          <w:lang w:eastAsia="zh-CN"/>
          <w14:textFill>
            <w14:solidFill>
              <w14:schemeClr w14:val="tx1"/>
            </w14:solidFill>
          </w14:textFill>
        </w:rPr>
        <w:t>查的</w:t>
      </w:r>
      <w:r>
        <w:rPr>
          <w:rFonts w:hint="eastAsia" w:ascii="仿宋" w:hAnsi="仿宋" w:eastAsia="仿宋" w:cs="仿宋"/>
          <w:color w:val="000000" w:themeColor="text1"/>
          <w:sz w:val="28"/>
          <w:szCs w:val="28"/>
          <w:highlight w:val="none"/>
          <w14:textFill>
            <w14:solidFill>
              <w14:schemeClr w14:val="tx1"/>
            </w14:solidFill>
          </w14:textFill>
        </w:rPr>
        <w:t>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（7）投标人应当遵循公平竞争的原则，不得恶意串通，不得妨碍其他投标人的竞争行为，不得损</w:t>
      </w:r>
      <w:r>
        <w:rPr>
          <w:rFonts w:hint="eastAsia" w:ascii="仿宋" w:hAnsi="仿宋" w:eastAsia="仿宋" w:cs="仿宋"/>
          <w:color w:val="000000" w:themeColor="text1"/>
          <w:sz w:val="28"/>
          <w:szCs w:val="28"/>
          <w:highlight w:val="none"/>
          <w:lang w:eastAsia="zh-CN"/>
          <w14:textFill>
            <w14:solidFill>
              <w14:schemeClr w14:val="tx1"/>
            </w14:solidFill>
          </w14:textFill>
        </w:rPr>
        <w:t>害</w:t>
      </w:r>
      <w:r>
        <w:rPr>
          <w:rFonts w:hint="eastAsia" w:ascii="仿宋" w:hAnsi="仿宋" w:eastAsia="仿宋" w:cs="仿宋"/>
          <w:color w:val="000000" w:themeColor="text1"/>
          <w:sz w:val="28"/>
          <w:szCs w:val="28"/>
          <w:highlight w:val="none"/>
          <w14:textFill>
            <w14:solidFill>
              <w14:schemeClr w14:val="tx1"/>
            </w14:solidFill>
          </w14:textFill>
        </w:rPr>
        <w:t>招标人或者其他投标人的合法权益。在评标过程中发现投标人有上述情形的，评标委员会应当认定其投标无效，并书面报告本级主管部门。</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.出现下列情况之一的，均予以废标</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（1）参加投标</w:t>
      </w:r>
      <w:r>
        <w:rPr>
          <w:rFonts w:hint="eastAsia" w:ascii="仿宋" w:hAnsi="仿宋" w:eastAsia="仿宋" w:cs="仿宋"/>
          <w:color w:val="000000" w:themeColor="text1"/>
          <w:sz w:val="28"/>
          <w:szCs w:val="28"/>
          <w:highlight w:val="none"/>
          <w:lang w:val="en-US" w:eastAsia="zh-CN"/>
          <w14:textFill>
            <w14:solidFill>
              <w14:schemeClr w14:val="tx1"/>
            </w14:solidFill>
          </w14:textFill>
        </w:rPr>
        <w:t>的企业</w:t>
      </w:r>
      <w:r>
        <w:rPr>
          <w:rFonts w:hint="eastAsia" w:ascii="仿宋" w:hAnsi="仿宋" w:eastAsia="仿宋" w:cs="仿宋"/>
          <w:color w:val="000000" w:themeColor="text1"/>
          <w:sz w:val="28"/>
          <w:szCs w:val="28"/>
          <w:highlight w:val="none"/>
          <w14:textFill>
            <w14:solidFill>
              <w14:schemeClr w14:val="tx1"/>
            </w14:solidFill>
          </w14:textFill>
        </w:rPr>
        <w:t>不足三家的</w:t>
      </w:r>
      <w:r>
        <w:rPr>
          <w:rFonts w:hint="eastAsia" w:ascii="仿宋" w:hAnsi="仿宋" w:eastAsia="仿宋" w:cs="仿宋"/>
          <w:color w:val="000000" w:themeColor="text1"/>
          <w:sz w:val="28"/>
          <w:szCs w:val="28"/>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出现影响采购公正的违法、违规行为的；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）因重大变故，采购任务取消的。</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9</w:t>
      </w:r>
      <w:r>
        <w:rPr>
          <w:rFonts w:hint="eastAsia" w:ascii="仿宋" w:hAnsi="仿宋" w:eastAsia="仿宋" w:cs="仿宋"/>
          <w:color w:val="000000" w:themeColor="text1"/>
          <w:sz w:val="28"/>
          <w:szCs w:val="28"/>
          <w:highlight w:val="none"/>
          <w14:textFill>
            <w14:solidFill>
              <w14:schemeClr w14:val="tx1"/>
            </w14:solidFill>
          </w14:textFill>
        </w:rPr>
        <w:t>.评标方法</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（1）评标方法：综合评分法。</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（2）评标细则：</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p>
    <w:tbl>
      <w:tblPr>
        <w:tblStyle w:val="32"/>
        <w:tblW w:w="9399" w:type="dxa"/>
        <w:jc w:val="center"/>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
      <w:tblGrid>
        <w:gridCol w:w="1368"/>
        <w:gridCol w:w="1015"/>
        <w:gridCol w:w="701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评审项目</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标准分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firstLine="560" w:firstLineChars="20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评  分  标  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报   价</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40分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当有效投标单位家数＞8家</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评标基准价=（所有投标人的有效报价之和-有效报价的最高值及次高值-有效报价的最低值及次低值）的算术平均值*95%；</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当6家≤有效投标单位≤8家</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评标基准价=（所有投标人的有效报价之和-有效报价的最高值-有效报价的最低值）的算术平均值*95%；</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当有效投标单位数≤5家</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评标基准价=所有投标人的有效报价的算术平均值*95%。</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当投标人的有效投标报价等于评标基准价得标准分40分，投标报价每高于评标基准价1%扣0.5分；投标报价每低于评标基准价1%扣0.25分，最高计至40分，最低计至0分（得分精确到小数点后2位）。</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技术方面</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40分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投标人所投报的产品技术方面不能满足招标文件技术参数要求的投标无效。能满足招标文件要求的，由评委根据以下标准以1分为单位进行打分：</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【31分</w:t>
            </w:r>
            <w:r>
              <w:rPr>
                <w:rFonts w:hint="eastAsia" w:ascii="仿宋" w:hAnsi="仿宋" w:eastAsia="仿宋" w:cs="仿宋"/>
                <w:bCs/>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z w:val="28"/>
                <w:szCs w:val="28"/>
                <w:highlight w:val="none"/>
                <w14:textFill>
                  <w14:solidFill>
                    <w14:schemeClr w14:val="tx1"/>
                  </w14:solidFill>
                </w14:textFill>
              </w:rPr>
              <w:t>40分】：投标人投报的产品质量可靠、性能稳定、安全性及市场认知度高，技术水平领先，重要参数、指标满足或优于招标文件要求</w:t>
            </w:r>
            <w:r>
              <w:rPr>
                <w:rFonts w:hint="eastAsia" w:ascii="仿宋" w:hAnsi="仿宋" w:eastAsia="仿宋" w:cs="仿宋"/>
                <w:bCs/>
                <w:color w:val="000000" w:themeColor="text1"/>
                <w:sz w:val="28"/>
                <w:szCs w:val="28"/>
                <w:highlight w:val="none"/>
                <w:lang w:eastAsia="zh-CN"/>
                <w14:textFill>
                  <w14:solidFill>
                    <w14:schemeClr w14:val="tx1"/>
                  </w14:solidFill>
                </w14:textFill>
              </w:rPr>
              <w:t>，具</w:t>
            </w:r>
            <w:r>
              <w:rPr>
                <w:rFonts w:hint="eastAsia" w:ascii="仿宋" w:hAnsi="仿宋" w:eastAsia="仿宋" w:cs="仿宋"/>
                <w:bCs/>
                <w:color w:val="000000" w:themeColor="text1"/>
                <w:sz w:val="28"/>
                <w:szCs w:val="28"/>
                <w:highlight w:val="none"/>
                <w14:textFill>
                  <w14:solidFill>
                    <w14:schemeClr w14:val="tx1"/>
                  </w14:solidFill>
                </w14:textFill>
              </w:rPr>
              <w:t>有突出的技术优势。</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【11分</w:t>
            </w:r>
            <w:r>
              <w:rPr>
                <w:rFonts w:hint="eastAsia" w:ascii="仿宋" w:hAnsi="仿宋" w:eastAsia="仿宋" w:cs="仿宋"/>
                <w:bCs/>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z w:val="28"/>
                <w:szCs w:val="28"/>
                <w:highlight w:val="none"/>
                <w14:textFill>
                  <w14:solidFill>
                    <w14:schemeClr w14:val="tx1"/>
                  </w14:solidFill>
                </w14:textFill>
              </w:rPr>
              <w:t>30分】：投标人投报的产品质量可靠、能实现招标文件的功能要求，参数、指标能完全满足招标文件要求。</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【1分</w:t>
            </w:r>
            <w:r>
              <w:rPr>
                <w:rFonts w:hint="eastAsia" w:ascii="仿宋" w:hAnsi="仿宋" w:eastAsia="仿宋" w:cs="仿宋"/>
                <w:bCs/>
                <w:color w:val="000000" w:themeColor="text1"/>
                <w:sz w:val="28"/>
                <w:szCs w:val="28"/>
                <w:highlight w:val="none"/>
                <w:lang w:eastAsia="zh-CN"/>
                <w14:textFill>
                  <w14:solidFill>
                    <w14:schemeClr w14:val="tx1"/>
                  </w14:solidFill>
                </w14:textFill>
              </w:rPr>
              <w:t>—</w:t>
            </w:r>
            <w:r>
              <w:rPr>
                <w:rFonts w:hint="eastAsia" w:ascii="仿宋" w:hAnsi="仿宋" w:eastAsia="仿宋" w:cs="仿宋"/>
                <w:bCs/>
                <w:color w:val="000000" w:themeColor="text1"/>
                <w:sz w:val="28"/>
                <w:szCs w:val="28"/>
                <w:highlight w:val="none"/>
                <w14:textFill>
                  <w14:solidFill>
                    <w14:schemeClr w14:val="tx1"/>
                  </w14:solidFill>
                </w14:textFill>
              </w:rPr>
              <w:t>10分】：投标人投报的产品的重要技术参数、指标能满足招标文件要求，其他参数、指标有负偏离。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质 保 期</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 xml:space="preserve">  5分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全部产品质保期符合技术要求的，得2分；质保期</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lang w:val="en-US" w:eastAsia="zh-CN"/>
                <w14:textFill>
                  <w14:solidFill>
                    <w14:schemeClr w14:val="tx1"/>
                  </w14:solidFill>
                </w14:textFill>
              </w:rPr>
              <w:t>整机质保</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每增加一</w:t>
            </w:r>
            <w:r>
              <w:rPr>
                <w:rFonts w:hint="eastAsia" w:ascii="仿宋" w:hAnsi="仿宋" w:eastAsia="仿宋" w:cs="仿宋"/>
                <w:color w:val="000000" w:themeColor="text1"/>
                <w:sz w:val="28"/>
                <w:szCs w:val="28"/>
                <w:highlight w:val="none"/>
                <w:lang w:val="en-US" w:eastAsia="zh-CN"/>
                <w14:textFill>
                  <w14:solidFill>
                    <w14:schemeClr w14:val="tx1"/>
                  </w14:solidFill>
                </w14:textFill>
              </w:rPr>
              <w:t>年</w:t>
            </w:r>
            <w:r>
              <w:rPr>
                <w:rFonts w:hint="eastAsia" w:ascii="仿宋" w:hAnsi="仿宋" w:eastAsia="仿宋" w:cs="仿宋"/>
                <w:color w:val="000000" w:themeColor="text1"/>
                <w:sz w:val="28"/>
                <w:szCs w:val="28"/>
                <w:highlight w:val="none"/>
                <w14:textFill>
                  <w14:solidFill>
                    <w14:schemeClr w14:val="tx1"/>
                  </w14:solidFill>
                </w14:textFill>
              </w:rPr>
              <w:t>，加1分，加到标准分为止。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业   绩</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 xml:space="preserve">  5分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近</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两</w:t>
            </w:r>
            <w:r>
              <w:rPr>
                <w:rFonts w:hint="eastAsia" w:ascii="仿宋" w:hAnsi="仿宋" w:eastAsia="仿宋" w:cs="仿宋"/>
                <w:bCs/>
                <w:color w:val="000000" w:themeColor="text1"/>
                <w:sz w:val="28"/>
                <w:szCs w:val="28"/>
                <w:highlight w:val="none"/>
                <w14:textFill>
                  <w14:solidFill>
                    <w14:schemeClr w14:val="tx1"/>
                  </w14:solidFill>
                </w14:textFill>
              </w:rPr>
              <w:t>年</w:t>
            </w:r>
            <w:r>
              <w:rPr>
                <w:rFonts w:hint="eastAsia" w:ascii="仿宋" w:hAnsi="仿宋" w:eastAsia="仿宋" w:cs="仿宋"/>
                <w:bCs/>
                <w:color w:val="000000" w:themeColor="text1"/>
                <w:sz w:val="28"/>
                <w:szCs w:val="28"/>
                <w:highlight w:val="none"/>
                <w:lang w:eastAsia="zh-CN"/>
                <w14:textFill>
                  <w14:solidFill>
                    <w14:schemeClr w14:val="tx1"/>
                  </w14:solidFill>
                </w14:textFill>
              </w:rPr>
              <w:t>供应商</w:t>
            </w:r>
            <w:r>
              <w:rPr>
                <w:rFonts w:hint="eastAsia" w:ascii="仿宋" w:hAnsi="仿宋" w:eastAsia="仿宋" w:cs="仿宋"/>
                <w:bCs/>
                <w:color w:val="000000" w:themeColor="text1"/>
                <w:sz w:val="28"/>
                <w:szCs w:val="28"/>
                <w:highlight w:val="none"/>
                <w14:textFill>
                  <w14:solidFill>
                    <w14:schemeClr w14:val="tx1"/>
                  </w14:solidFill>
                </w14:textFill>
              </w:rPr>
              <w:t>完成类似业绩，</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响应文件</w:t>
            </w:r>
            <w:r>
              <w:rPr>
                <w:rFonts w:hint="eastAsia" w:ascii="仿宋" w:hAnsi="仿宋" w:eastAsia="仿宋" w:cs="仿宋"/>
                <w:bCs/>
                <w:color w:val="000000" w:themeColor="text1"/>
                <w:sz w:val="28"/>
                <w:szCs w:val="28"/>
                <w:highlight w:val="none"/>
                <w14:textFill>
                  <w14:solidFill>
                    <w14:schemeClr w14:val="tx1"/>
                  </w14:solidFill>
                </w14:textFill>
              </w:rPr>
              <w:t>中附合同复印件，时间以合同签订日期为准，每有一项得1分，最高得</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5</w:t>
            </w:r>
            <w:r>
              <w:rPr>
                <w:rFonts w:hint="eastAsia" w:ascii="仿宋" w:hAnsi="仿宋" w:eastAsia="仿宋" w:cs="仿宋"/>
                <w:bCs/>
                <w:color w:val="000000" w:themeColor="text1"/>
                <w:sz w:val="28"/>
                <w:szCs w:val="28"/>
                <w:highlight w:val="none"/>
                <w14:textFill>
                  <w14:solidFill>
                    <w14:schemeClr w14:val="tx1"/>
                  </w14:solidFill>
                </w14:textFill>
              </w:rPr>
              <w:t>分。</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注：1.类似业绩为高压变频器升级改造项目。</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2.近两年指自开标日向前追溯两年，精确到日。</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0" w:hRule="atLeast"/>
          <w:jc w:val="center"/>
        </w:trPr>
        <w:tc>
          <w:tcPr>
            <w:tcW w:w="1368"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售后服务</w:t>
            </w:r>
          </w:p>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承 诺</w:t>
            </w:r>
          </w:p>
        </w:tc>
        <w:tc>
          <w:tcPr>
            <w:tcW w:w="1015"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lang w:val="en-US" w:eastAsia="zh-CN"/>
                <w14:textFill>
                  <w14:solidFill>
                    <w14:schemeClr w14:val="tx1"/>
                  </w14:solidFill>
                </w14:textFill>
              </w:rPr>
              <w:t>10</w:t>
            </w:r>
            <w:r>
              <w:rPr>
                <w:rFonts w:hint="eastAsia" w:ascii="仿宋" w:hAnsi="仿宋" w:eastAsia="仿宋" w:cs="仿宋"/>
                <w:bCs/>
                <w:color w:val="000000" w:themeColor="text1"/>
                <w:sz w:val="28"/>
                <w:szCs w:val="28"/>
                <w:highlight w:val="none"/>
                <w14:textFill>
                  <w14:solidFill>
                    <w14:schemeClr w14:val="tx1"/>
                  </w14:solidFill>
                </w14:textFill>
              </w:rPr>
              <w:t>分</w:t>
            </w:r>
          </w:p>
        </w:tc>
        <w:tc>
          <w:tcPr>
            <w:tcW w:w="7016" w:type="dxa"/>
            <w:noWrap w:val="0"/>
            <w:vAlign w:val="center"/>
          </w:tcPr>
          <w:p>
            <w:pPr>
              <w:keepNext w:val="0"/>
              <w:keepLines w:val="0"/>
              <w:pageBreakBefore w:val="0"/>
              <w:widowControl w:val="0"/>
              <w:suppressLineNumbers w:val="0"/>
              <w:tabs>
                <w:tab w:val="left" w:pos="540"/>
              </w:tabs>
              <w:kinsoku/>
              <w:wordWrap/>
              <w:overflowPunct/>
              <w:topLinePunct w:val="0"/>
              <w:autoSpaceDE/>
              <w:autoSpaceDN/>
              <w:bidi w:val="0"/>
              <w:adjustRightInd/>
              <w:snapToGrid/>
              <w:spacing w:before="0" w:beforeAutospacing="0" w:after="0" w:afterAutospacing="0" w:line="560" w:lineRule="exact"/>
              <w:ind w:left="0" w:right="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由评委根据投标人提供的售后服务流程、技术支持内容及实现上述服务在人员和时间上的保证措施等承诺情况进行打分，最高得</w:t>
            </w:r>
            <w:r>
              <w:rPr>
                <w:rFonts w:hint="eastAsia" w:ascii="仿宋" w:hAnsi="仿宋" w:eastAsia="仿宋" w:cs="仿宋"/>
                <w:bCs/>
                <w:color w:val="000000" w:themeColor="text1"/>
                <w:sz w:val="28"/>
                <w:szCs w:val="28"/>
                <w:highlight w:val="none"/>
                <w:lang w:val="en-US" w:eastAsia="zh-CN"/>
                <w14:textFill>
                  <w14:solidFill>
                    <w14:schemeClr w14:val="tx1"/>
                  </w14:solidFill>
                </w14:textFill>
              </w:rPr>
              <w:t>10</w:t>
            </w:r>
            <w:r>
              <w:rPr>
                <w:rFonts w:hint="eastAsia" w:ascii="仿宋" w:hAnsi="仿宋" w:eastAsia="仿宋" w:cs="仿宋"/>
                <w:bCs/>
                <w:color w:val="000000" w:themeColor="text1"/>
                <w:sz w:val="28"/>
                <w:szCs w:val="28"/>
                <w:highlight w:val="none"/>
                <w14:textFill>
                  <w14:solidFill>
                    <w14:schemeClr w14:val="tx1"/>
                  </w14:solidFill>
                </w14:textFill>
              </w:rPr>
              <w:t>分；未提供技术、售后服务承诺的，不得分。</w:t>
            </w:r>
          </w:p>
        </w:tc>
      </w:tr>
    </w:tbl>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Cs/>
          <w:color w:val="000000" w:themeColor="text1"/>
          <w:sz w:val="24"/>
          <w:szCs w:val="24"/>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注：①本细则只针对有效投标文件予以评分。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②计算得分时，四舍五入</w:t>
      </w:r>
      <w:r>
        <w:rPr>
          <w:rFonts w:hint="eastAsia" w:ascii="仿宋" w:hAnsi="仿宋" w:eastAsia="仿宋" w:cs="仿宋"/>
          <w:bCs/>
          <w:color w:val="000000" w:themeColor="text1"/>
          <w:sz w:val="28"/>
          <w:szCs w:val="28"/>
          <w:highlight w:val="none"/>
          <w:lang w:eastAsia="zh-CN"/>
          <w14:textFill>
            <w14:solidFill>
              <w14:schemeClr w14:val="tx1"/>
            </w14:solidFill>
          </w14:textFill>
        </w:rPr>
        <w:t>保留至小数点后两位</w:t>
      </w:r>
      <w:r>
        <w:rPr>
          <w:rFonts w:hint="eastAsia" w:ascii="仿宋" w:hAnsi="仿宋" w:eastAsia="仿宋" w:cs="仿宋"/>
          <w:bCs/>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③汇总各评委打分进行算术平均，计算出各投标人的综合得分。</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三、编写评标报告</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依据评委评标签字的原始记录和评标结果，按照规定的内容要求编写评标报告，并由全体评委签名。</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四、定标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评标委员会依据综合得分排序，确定排序</w:t>
      </w:r>
      <w:r>
        <w:rPr>
          <w:rFonts w:hint="eastAsia" w:ascii="仿宋" w:hAnsi="仿宋" w:eastAsia="仿宋" w:cs="仿宋"/>
          <w:color w:val="000000" w:themeColor="text1"/>
          <w:sz w:val="28"/>
          <w:szCs w:val="28"/>
          <w:highlight w:val="none"/>
          <w:lang w:val="en-US" w:eastAsia="zh-CN"/>
          <w14:textFill>
            <w14:solidFill>
              <w14:schemeClr w14:val="tx1"/>
            </w14:solidFill>
          </w14:textFill>
        </w:rPr>
        <w:t>第一</w:t>
      </w:r>
      <w:r>
        <w:rPr>
          <w:rFonts w:hint="eastAsia" w:ascii="仿宋" w:hAnsi="仿宋" w:eastAsia="仿宋" w:cs="仿宋"/>
          <w:color w:val="000000" w:themeColor="text1"/>
          <w:sz w:val="28"/>
          <w:szCs w:val="28"/>
          <w:highlight w:val="none"/>
          <w14:textFill>
            <w14:solidFill>
              <w14:schemeClr w14:val="tx1"/>
            </w14:solidFill>
          </w14:textFill>
        </w:rPr>
        <w:t>的投标人为中标人。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评标结果将在中国招标投标公共服务平台（网址：http://www.cebpubservice.com）、山东省采购与招标网（网址：http://www.sdbidding.org.cn/）、威海市公共资源交易网（网址：http://ggzyjy.weihai.cn）予以公告。</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五、结果公告</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结果公告</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招标人应当自定标结束后在原招标公告发布媒</w:t>
      </w:r>
      <w:r>
        <w:rPr>
          <w:rFonts w:hint="eastAsia" w:ascii="仿宋" w:hAnsi="仿宋" w:eastAsia="仿宋" w:cs="仿宋"/>
          <w:color w:val="000000" w:themeColor="text1"/>
          <w:sz w:val="28"/>
          <w:szCs w:val="28"/>
          <w:highlight w:val="none"/>
          <w:lang w:eastAsia="zh-CN"/>
          <w14:textFill>
            <w14:solidFill>
              <w14:schemeClr w14:val="tx1"/>
            </w14:solidFill>
          </w14:textFill>
        </w:rPr>
        <w:t>介上</w:t>
      </w:r>
      <w:r>
        <w:rPr>
          <w:rFonts w:hint="eastAsia" w:ascii="仿宋" w:hAnsi="仿宋" w:eastAsia="仿宋" w:cs="仿宋"/>
          <w:color w:val="000000" w:themeColor="text1"/>
          <w:sz w:val="28"/>
          <w:szCs w:val="28"/>
          <w:highlight w:val="none"/>
          <w14:textFill>
            <w14:solidFill>
              <w14:schemeClr w14:val="tx1"/>
            </w14:solidFill>
          </w14:textFill>
        </w:rPr>
        <w:t>发布中标公告。中标公告期限为</w:t>
      </w:r>
      <w:r>
        <w:rPr>
          <w:rFonts w:hint="eastAsia" w:ascii="仿宋" w:hAnsi="仿宋" w:eastAsia="仿宋" w:cs="仿宋"/>
          <w:color w:val="000000" w:themeColor="text1"/>
          <w:sz w:val="28"/>
          <w:szCs w:val="28"/>
          <w:highlight w:val="none"/>
          <w:lang w:val="en-US" w:eastAsia="zh-CN"/>
          <w14:textFill>
            <w14:solidFill>
              <w14:schemeClr w14:val="tx1"/>
            </w14:solidFill>
          </w14:textFill>
        </w:rPr>
        <w:t>1个工作</w:t>
      </w:r>
      <w:r>
        <w:rPr>
          <w:rFonts w:hint="eastAsia" w:ascii="仿宋" w:hAnsi="仿宋" w:eastAsia="仿宋" w:cs="仿宋"/>
          <w:color w:val="000000" w:themeColor="text1"/>
          <w:sz w:val="28"/>
          <w:szCs w:val="28"/>
          <w:highlight w:val="none"/>
          <w14:textFill>
            <w14:solidFill>
              <w14:schemeClr w14:val="tx1"/>
            </w14:solidFill>
          </w14:textFill>
        </w:rPr>
        <w:t>日。中标公告应当包括下列内容：</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（1）招标人、招标公司的名称、地址和联系方式；</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（2）项目名称和招标编号；</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（3）中标人名称和中标金额。</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签发中标通知书</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中标公告结束且无尚未处理的异议后，招标人和招标公司联合向中标人发出中标通知书。《中标通知书》是合同的组成部分</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对中标人和招标人具有同等法律效力。《中标通知书》发出后，招标人不得违法改变中标结果，中标人无正当理由不得放弃中标。</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六、异议处理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依据《威海市市属国有企业阳光采购监督管理办法》规定，供应商认为采购文件、采购过程、成交结果使自己的权益受到损害，应</w:t>
      </w:r>
      <w:r>
        <w:rPr>
          <w:rFonts w:hint="eastAsia" w:ascii="仿宋" w:hAnsi="仿宋" w:eastAsia="仿宋" w:cs="仿宋"/>
          <w:color w:val="000000" w:themeColor="text1"/>
          <w:sz w:val="28"/>
          <w:szCs w:val="28"/>
          <w:highlight w:val="none"/>
          <w:lang w:eastAsia="zh-CN"/>
          <w14:textFill>
            <w14:solidFill>
              <w14:schemeClr w14:val="tx1"/>
            </w14:solidFill>
          </w14:textFill>
        </w:rPr>
        <w:t>按照</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法律法规的规定期限内</w:t>
      </w:r>
      <w:r>
        <w:rPr>
          <w:rFonts w:hint="eastAsia" w:ascii="仿宋" w:hAnsi="仿宋" w:eastAsia="仿宋" w:cs="仿宋"/>
          <w:color w:val="000000" w:themeColor="text1"/>
          <w:sz w:val="28"/>
          <w:szCs w:val="28"/>
          <w:highlight w:val="none"/>
          <w14:textFill>
            <w14:solidFill>
              <w14:schemeClr w14:val="tx1"/>
            </w14:solidFill>
          </w14:textFill>
        </w:rPr>
        <w:t>以书面形式向采购人或采购代理机构提出质疑</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采购人</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采购代理机构应当在收到供应商的书面质疑后3个工作日内做出书面答复</w:t>
      </w:r>
      <w:r>
        <w:rPr>
          <w:rFonts w:hint="eastAsia" w:ascii="仿宋" w:hAnsi="仿宋" w:eastAsia="仿宋" w:cs="仿宋"/>
          <w:color w:val="000000" w:themeColor="text1"/>
          <w:sz w:val="28"/>
          <w:szCs w:val="28"/>
          <w:highlight w:val="none"/>
          <w:lang w:eastAsia="zh-CN"/>
          <w14:textFill>
            <w14:solidFill>
              <w14:schemeClr w14:val="tx1"/>
            </w14:solidFill>
          </w14:textFill>
        </w:rPr>
        <w:t>，但答复内容不得涉及商业秘密</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仲裁</w:t>
      </w:r>
      <w:r>
        <w:rPr>
          <w:rFonts w:hint="eastAsia" w:ascii="仿宋" w:hAnsi="仿宋" w:eastAsia="仿宋" w:cs="仿宋"/>
          <w:color w:val="000000" w:themeColor="text1"/>
          <w:sz w:val="28"/>
          <w:szCs w:val="28"/>
          <w:highlight w:val="none"/>
          <w:lang w:eastAsia="zh-CN"/>
          <w14:textFill>
            <w14:solidFill>
              <w14:schemeClr w14:val="tx1"/>
            </w14:solidFill>
          </w14:textFill>
        </w:rPr>
        <w:t>或起诉</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供应商对答复不满意，或者采购人、代理机构未在规定的时间内做出书面答复的，</w:t>
      </w:r>
      <w:r>
        <w:rPr>
          <w:rFonts w:hint="eastAsia" w:ascii="仿宋" w:hAnsi="仿宋" w:eastAsia="仿宋" w:cs="仿宋"/>
          <w:color w:val="000000" w:themeColor="text1"/>
          <w:sz w:val="28"/>
          <w:szCs w:val="28"/>
          <w:highlight w:val="none"/>
          <w:lang w:eastAsia="zh-CN"/>
          <w14:textFill>
            <w14:solidFill>
              <w14:schemeClr w14:val="tx1"/>
            </w14:solidFill>
          </w14:textFill>
        </w:rPr>
        <w:t>供应商</w:t>
      </w:r>
      <w:r>
        <w:rPr>
          <w:rFonts w:hint="eastAsia" w:ascii="仿宋" w:hAnsi="仿宋" w:eastAsia="仿宋" w:cs="仿宋"/>
          <w:color w:val="000000" w:themeColor="text1"/>
          <w:sz w:val="28"/>
          <w:szCs w:val="28"/>
          <w:highlight w:val="none"/>
          <w14:textFill>
            <w14:solidFill>
              <w14:schemeClr w14:val="tx1"/>
            </w14:solidFill>
          </w14:textFill>
        </w:rPr>
        <w:t>可以在答复期满后向采购人所在地</w:t>
      </w:r>
      <w:r>
        <w:rPr>
          <w:rFonts w:hint="eastAsia" w:ascii="仿宋" w:hAnsi="仿宋" w:eastAsia="仿宋" w:cs="仿宋"/>
          <w:color w:val="000000" w:themeColor="text1"/>
          <w:sz w:val="28"/>
          <w:szCs w:val="28"/>
          <w:highlight w:val="none"/>
          <w:lang w:eastAsia="zh-CN"/>
          <w14:textFill>
            <w14:solidFill>
              <w14:schemeClr w14:val="tx1"/>
            </w14:solidFill>
          </w14:textFill>
        </w:rPr>
        <w:t>仲裁机构、</w:t>
      </w:r>
      <w:r>
        <w:rPr>
          <w:rFonts w:hint="eastAsia" w:ascii="仿宋" w:hAnsi="仿宋" w:eastAsia="仿宋" w:cs="仿宋"/>
          <w:color w:val="000000" w:themeColor="text1"/>
          <w:sz w:val="28"/>
          <w:szCs w:val="28"/>
          <w:highlight w:val="none"/>
          <w14:textFill>
            <w14:solidFill>
              <w14:schemeClr w14:val="tx1"/>
            </w14:solidFill>
          </w14:textFill>
        </w:rPr>
        <w:t>人民法院</w:t>
      </w:r>
      <w:r>
        <w:rPr>
          <w:rFonts w:hint="eastAsia" w:ascii="仿宋" w:hAnsi="仿宋" w:eastAsia="仿宋" w:cs="仿宋"/>
          <w:color w:val="000000" w:themeColor="text1"/>
          <w:sz w:val="28"/>
          <w:szCs w:val="28"/>
          <w:highlight w:val="none"/>
          <w:lang w:eastAsia="zh-CN"/>
          <w14:textFill>
            <w14:solidFill>
              <w14:schemeClr w14:val="tx1"/>
            </w14:solidFill>
          </w14:textFill>
        </w:rPr>
        <w:t>申请仲裁或</w:t>
      </w:r>
      <w:r>
        <w:rPr>
          <w:rFonts w:hint="eastAsia" w:ascii="仿宋" w:hAnsi="仿宋" w:eastAsia="仿宋" w:cs="仿宋"/>
          <w:color w:val="000000" w:themeColor="text1"/>
          <w:sz w:val="28"/>
          <w:szCs w:val="28"/>
          <w:highlight w:val="none"/>
          <w14:textFill>
            <w14:solidFill>
              <w14:schemeClr w14:val="tx1"/>
            </w14:solidFill>
          </w14:textFill>
        </w:rPr>
        <w:t>起诉。</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提出质疑的</w:t>
      </w:r>
      <w:r>
        <w:rPr>
          <w:rFonts w:hint="eastAsia" w:ascii="仿宋" w:hAnsi="仿宋" w:eastAsia="仿宋" w:cs="仿宋"/>
          <w:color w:val="000000" w:themeColor="text1"/>
          <w:sz w:val="28"/>
          <w:szCs w:val="28"/>
          <w:highlight w:val="none"/>
          <w:lang w:eastAsia="zh-CN"/>
          <w14:textFill>
            <w14:solidFill>
              <w14:schemeClr w14:val="tx1"/>
            </w14:solidFill>
          </w14:textFill>
        </w:rPr>
        <w:t>主体</w:t>
      </w:r>
      <w:r>
        <w:rPr>
          <w:rFonts w:hint="eastAsia" w:ascii="仿宋" w:hAnsi="仿宋" w:eastAsia="仿宋" w:cs="仿宋"/>
          <w:color w:val="000000" w:themeColor="text1"/>
          <w:sz w:val="28"/>
          <w:szCs w:val="28"/>
          <w:highlight w:val="none"/>
          <w14:textFill>
            <w14:solidFill>
              <w14:schemeClr w14:val="tx1"/>
            </w14:solidFill>
          </w14:textFill>
        </w:rPr>
        <w:t>应当是参与本项目招标活动的投标人。</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投标人应在法定质疑期内一次性提出针对同一采购程序环节的质疑。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质疑采用实名制</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为了使提出的质疑事项在规定时间内得到有效答复</w:t>
      </w:r>
      <w:r>
        <w:rPr>
          <w:rFonts w:hint="eastAsia" w:ascii="仿宋" w:hAnsi="仿宋" w:eastAsia="仿宋" w:cs="仿宋"/>
          <w:color w:val="000000" w:themeColor="text1"/>
          <w:sz w:val="28"/>
          <w:szCs w:val="28"/>
          <w:highlight w:val="none"/>
          <w:lang w:eastAsia="zh-CN"/>
          <w14:textFill>
            <w14:solidFill>
              <w14:schemeClr w14:val="tx1"/>
            </w14:solidFill>
          </w14:textFill>
        </w:rPr>
        <w:t>和</w:t>
      </w:r>
      <w:r>
        <w:rPr>
          <w:rFonts w:hint="eastAsia" w:ascii="仿宋" w:hAnsi="仿宋" w:eastAsia="仿宋" w:cs="仿宋"/>
          <w:color w:val="000000" w:themeColor="text1"/>
          <w:sz w:val="28"/>
          <w:szCs w:val="28"/>
          <w:highlight w:val="none"/>
          <w14:textFill>
            <w14:solidFill>
              <w14:schemeClr w14:val="tx1"/>
            </w14:solidFill>
          </w14:textFill>
        </w:rPr>
        <w:t>处理，提交的质疑函务必</w:t>
      </w:r>
      <w:r>
        <w:rPr>
          <w:rFonts w:hint="eastAsia" w:ascii="仿宋" w:hAnsi="仿宋" w:eastAsia="仿宋" w:cs="仿宋"/>
          <w:color w:val="000000" w:themeColor="text1"/>
          <w:sz w:val="28"/>
          <w:szCs w:val="28"/>
          <w:highlight w:val="none"/>
          <w:lang w:eastAsia="zh-CN"/>
          <w14:textFill>
            <w14:solidFill>
              <w14:schemeClr w14:val="tx1"/>
            </w14:solidFill>
          </w14:textFill>
        </w:rPr>
        <w:t>包含</w:t>
      </w:r>
      <w:r>
        <w:rPr>
          <w:rFonts w:hint="eastAsia" w:ascii="仿宋" w:hAnsi="仿宋" w:eastAsia="仿宋" w:cs="仿宋"/>
          <w:color w:val="000000" w:themeColor="text1"/>
          <w:sz w:val="28"/>
          <w:szCs w:val="28"/>
          <w:highlight w:val="none"/>
          <w14:textFill>
            <w14:solidFill>
              <w14:schemeClr w14:val="tx1"/>
            </w14:solidFill>
          </w14:textFill>
        </w:rPr>
        <w:t>以下内容。</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（1）投标人的姓名或名称、地址（</w:t>
      </w:r>
      <w:r>
        <w:rPr>
          <w:rFonts w:hint="eastAsia" w:ascii="仿宋" w:hAnsi="仿宋" w:eastAsia="仿宋" w:cs="仿宋"/>
          <w:color w:val="000000" w:themeColor="text1"/>
          <w:sz w:val="28"/>
          <w:szCs w:val="28"/>
          <w:highlight w:val="none"/>
          <w:lang w:eastAsia="zh-CN"/>
          <w14:textFill>
            <w14:solidFill>
              <w14:schemeClr w14:val="tx1"/>
            </w14:solidFill>
          </w14:textFill>
        </w:rPr>
        <w:t>含邮箱</w:t>
      </w:r>
      <w:r>
        <w:rPr>
          <w:rFonts w:hint="eastAsia" w:ascii="仿宋" w:hAnsi="仿宋" w:eastAsia="仿宋" w:cs="仿宋"/>
          <w:color w:val="000000" w:themeColor="text1"/>
          <w:sz w:val="28"/>
          <w:szCs w:val="28"/>
          <w:highlight w:val="none"/>
          <w14:textFill>
            <w14:solidFill>
              <w14:schemeClr w14:val="tx1"/>
            </w14:solidFill>
          </w14:textFill>
        </w:rPr>
        <w:t>）、邮编、联系人及联系电话；</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（2）质疑项目的名称、招标编号；</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（3）具体、明确的质疑事项和与质疑事项相关的请求；</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（4）事实依据；</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（5）必要的法律依据；</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（6）提出质疑的日期。</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投标人为自然人的，应当由本人签字；投标人为法人或者其他组织的，应当由法定代表人、单位负责人，或者其被授权人签字或者盖章，并加盖公章。</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招标人或招标公司正式受理后方可生效。否则，为无效质疑。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有下列情况之一的质疑不予受理：</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（1）无质疑函件</w:t>
      </w:r>
      <w:r>
        <w:rPr>
          <w:rFonts w:hint="eastAsia" w:ascii="仿宋" w:hAnsi="仿宋" w:eastAsia="仿宋" w:cs="仿宋"/>
          <w:color w:val="000000" w:themeColor="text1"/>
          <w:sz w:val="28"/>
          <w:szCs w:val="28"/>
          <w:highlight w:val="none"/>
          <w:lang w:eastAsia="zh-CN"/>
          <w14:textFill>
            <w14:solidFill>
              <w14:schemeClr w14:val="tx1"/>
            </w14:solidFill>
          </w14:textFill>
        </w:rPr>
        <w:t>，或</w:t>
      </w:r>
      <w:r>
        <w:rPr>
          <w:rFonts w:hint="eastAsia" w:ascii="仿宋" w:hAnsi="仿宋" w:eastAsia="仿宋" w:cs="仿宋"/>
          <w:color w:val="000000" w:themeColor="text1"/>
          <w:sz w:val="28"/>
          <w:szCs w:val="28"/>
          <w:highlight w:val="none"/>
          <w14:textFill>
            <w14:solidFill>
              <w14:schemeClr w14:val="tx1"/>
            </w14:solidFill>
          </w14:textFill>
        </w:rPr>
        <w:t>质疑函件缺少投标人法人印章、投标人法定代表人签字、有效授权书和联系方式之一的质疑；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（2）质疑函件无实质性内容</w:t>
      </w:r>
      <w:r>
        <w:rPr>
          <w:rFonts w:hint="eastAsia" w:ascii="仿宋" w:hAnsi="仿宋" w:eastAsia="仿宋" w:cs="仿宋"/>
          <w:color w:val="000000" w:themeColor="text1"/>
          <w:sz w:val="28"/>
          <w:szCs w:val="28"/>
          <w:highlight w:val="none"/>
          <w:lang w:eastAsia="zh-CN"/>
          <w14:textFill>
            <w14:solidFill>
              <w14:schemeClr w14:val="tx1"/>
            </w14:solidFill>
          </w14:textFill>
        </w:rPr>
        <w:t>，或无佐证</w:t>
      </w:r>
      <w:r>
        <w:rPr>
          <w:rFonts w:hint="eastAsia" w:ascii="仿宋" w:hAnsi="仿宋" w:eastAsia="仿宋" w:cs="仿宋"/>
          <w:color w:val="000000" w:themeColor="text1"/>
          <w:sz w:val="28"/>
          <w:szCs w:val="28"/>
          <w:highlight w:val="none"/>
          <w14:textFill>
            <w14:solidFill>
              <w14:schemeClr w14:val="tx1"/>
            </w14:solidFill>
          </w14:textFill>
        </w:rPr>
        <w:t>文件资料，主观臆断及推理得出结论的质疑；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（3）相应证明材料不真实或来源不合法的质疑；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（4）未按规定时间</w:t>
      </w:r>
      <w:r>
        <w:rPr>
          <w:rFonts w:hint="eastAsia" w:ascii="仿宋" w:hAnsi="仿宋" w:eastAsia="仿宋" w:cs="仿宋"/>
          <w:color w:val="000000" w:themeColor="text1"/>
          <w:sz w:val="28"/>
          <w:szCs w:val="28"/>
          <w:highlight w:val="none"/>
          <w:lang w:eastAsia="zh-CN"/>
          <w14:textFill>
            <w14:solidFill>
              <w14:schemeClr w14:val="tx1"/>
            </w14:solidFill>
          </w14:textFill>
        </w:rPr>
        <w:t>提出，或</w:t>
      </w:r>
      <w:r>
        <w:rPr>
          <w:rFonts w:hint="eastAsia" w:ascii="仿宋" w:hAnsi="仿宋" w:eastAsia="仿宋" w:cs="仿宋"/>
          <w:color w:val="000000" w:themeColor="text1"/>
          <w:sz w:val="28"/>
          <w:szCs w:val="28"/>
          <w:highlight w:val="none"/>
          <w14:textFill>
            <w14:solidFill>
              <w14:schemeClr w14:val="tx1"/>
            </w14:solidFill>
          </w14:textFill>
        </w:rPr>
        <w:t>超过公示期限提出的质疑；</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w:t>
      </w:r>
      <w:r>
        <w:rPr>
          <w:rFonts w:hint="eastAsia" w:ascii="仿宋" w:hAnsi="仿宋" w:eastAsia="仿宋" w:cs="仿宋"/>
          <w:color w:val="000000" w:themeColor="text1"/>
          <w:sz w:val="28"/>
          <w:szCs w:val="28"/>
          <w:highlight w:val="none"/>
          <w14:textFill>
            <w14:solidFill>
              <w14:schemeClr w14:val="tx1"/>
            </w14:solidFill>
          </w14:textFill>
        </w:rPr>
        <w:t>对捏造事实，提供虚假材料或者以非法手段取得证明材料进行恶意质疑的，一经查实，将列入平台黑名单。</w:t>
      </w:r>
    </w:p>
    <w:p>
      <w:pPr>
        <w:keepNext w:val="0"/>
        <w:keepLines w:val="0"/>
        <w:pageBreakBefore w:val="0"/>
        <w:widowControl w:val="0"/>
        <w:kinsoku/>
        <w:wordWrap/>
        <w:overflowPunct/>
        <w:topLinePunct w:val="0"/>
        <w:autoSpaceDE/>
        <w:autoSpaceDN/>
        <w:bidi w:val="0"/>
        <w:adjustRightInd/>
        <w:snapToGrid/>
        <w:spacing w:line="560" w:lineRule="exact"/>
        <w:ind w:firstLine="551" w:firstLineChars="196"/>
        <w:textAlignment w:val="auto"/>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七</w:t>
      </w:r>
      <w:r>
        <w:rPr>
          <w:rFonts w:hint="eastAsia" w:ascii="仿宋" w:hAnsi="仿宋" w:eastAsia="仿宋" w:cs="仿宋"/>
          <w:b/>
          <w:bCs/>
          <w:color w:val="000000" w:themeColor="text1"/>
          <w:sz w:val="28"/>
          <w:szCs w:val="28"/>
          <w:highlight w:val="none"/>
          <w14:textFill>
            <w14:solidFill>
              <w14:schemeClr w14:val="tx1"/>
            </w14:solidFill>
          </w14:textFill>
        </w:rPr>
        <w:t>、签订合同</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1.中标合同原则以第六部分合同书（范本）为基础，并根据投标、答疑情况进行修改补充，自签订之日起生效。</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2.中标人在规定的期限内无正当理由拒绝签订合同、放弃中标</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因不可抗力不能履行合同</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不按照要求提交履约保证金</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或者被查实存在影响中标结果的违法行为</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或者经考察满足不了招标人要求</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或者其他不符合中标条件的情形，招标人可以按照评标委员会提出的中标候选人名单排序依次确定其他中标候选人为中标人，也可以重新招标。</w:t>
      </w:r>
    </w:p>
    <w:p>
      <w:pPr>
        <w:keepNext w:val="0"/>
        <w:keepLines w:val="0"/>
        <w:pageBreakBefore w:val="0"/>
        <w:widowControl w:val="0"/>
        <w:kinsoku/>
        <w:wordWrap/>
        <w:overflowPunct/>
        <w:topLinePunct w:val="0"/>
        <w:autoSpaceDE/>
        <w:autoSpaceDN/>
        <w:bidi w:val="0"/>
        <w:adjustRightInd/>
        <w:snapToGrid/>
        <w:spacing w:line="560" w:lineRule="exact"/>
        <w:ind w:firstLine="548" w:firstLineChars="196"/>
        <w:textAlignment w:val="auto"/>
        <w:rPr>
          <w:rFonts w:hint="eastAsia" w:ascii="仿宋" w:hAnsi="仿宋" w:eastAsia="仿宋" w:cs="仿宋"/>
          <w:color w:val="000000" w:themeColor="text1"/>
          <w:sz w:val="28"/>
          <w:szCs w:val="28"/>
          <w:highlight w:val="none"/>
          <w:lang w:eastAsia="zh-CN"/>
          <w14:textFill>
            <w14:solidFill>
              <w14:schemeClr w14:val="tx1"/>
            </w14:solidFill>
          </w14:textFill>
        </w:rPr>
        <w:sectPr>
          <w:footerReference r:id="rId6" w:type="default"/>
          <w:pgSz w:w="11906" w:h="16838"/>
          <w:pgMar w:top="1417" w:right="1416" w:bottom="1417" w:left="1560" w:header="851" w:footer="992" w:gutter="0"/>
          <w:pgNumType w:fmt="decimal" w:start="1"/>
          <w:cols w:space="720" w:num="1"/>
          <w:rtlGutter w:val="1"/>
          <w:docGrid w:type="lines" w:linePitch="520" w:charSpace="0"/>
        </w:sectPr>
      </w:pPr>
      <w:r>
        <w:rPr>
          <w:rFonts w:hint="eastAsia" w:ascii="仿宋" w:hAnsi="仿宋" w:eastAsia="仿宋" w:cs="仿宋"/>
          <w:color w:val="000000" w:themeColor="text1"/>
          <w:sz w:val="28"/>
          <w:szCs w:val="28"/>
          <w:highlight w:val="none"/>
          <w14:textFill>
            <w14:solidFill>
              <w14:schemeClr w14:val="tx1"/>
            </w14:solidFill>
          </w14:textFill>
        </w:rPr>
        <w:t>3.中标合同，按照市国资委的要求，通过威海市国有企业阳光采购电子化服务平台进行公示</w:t>
      </w:r>
      <w:r>
        <w:rPr>
          <w:rFonts w:hint="eastAsia" w:ascii="仿宋" w:hAnsi="仿宋" w:eastAsia="仿宋" w:cs="仿宋"/>
          <w:color w:val="000000" w:themeColor="text1"/>
          <w:sz w:val="28"/>
          <w:szCs w:val="28"/>
          <w:highlight w:val="none"/>
          <w:lang w:eastAsia="zh-CN"/>
          <w14:textFill>
            <w14:solidFill>
              <w14:schemeClr w14:val="tx1"/>
            </w14:solidFill>
          </w14:textFill>
        </w:rPr>
        <w:t>。</w:t>
      </w:r>
    </w:p>
    <w:p>
      <w:pPr>
        <w:tabs>
          <w:tab w:val="right" w:pos="7404"/>
        </w:tabs>
        <w:jc w:val="center"/>
        <w:outlineLvl w:val="0"/>
        <w:rPr>
          <w:rFonts w:hint="eastAsia" w:ascii="仿宋" w:hAnsi="仿宋" w:eastAsia="仿宋" w:cs="仿宋"/>
          <w:b/>
          <w:bCs/>
          <w:color w:val="000000" w:themeColor="text1"/>
          <w:sz w:val="44"/>
          <w:szCs w:val="44"/>
          <w:highlight w:val="none"/>
          <w14:textFill>
            <w14:solidFill>
              <w14:schemeClr w14:val="tx1"/>
            </w14:solidFill>
          </w14:textFill>
        </w:rPr>
      </w:pPr>
      <w:bookmarkStart w:id="18" w:name="_Toc7572"/>
      <w:r>
        <w:rPr>
          <w:rFonts w:hint="eastAsia" w:ascii="仿宋" w:hAnsi="仿宋" w:eastAsia="仿宋" w:cs="仿宋"/>
          <w:b/>
          <w:bCs/>
          <w:color w:val="000000" w:themeColor="text1"/>
          <w:sz w:val="44"/>
          <w:szCs w:val="44"/>
          <w:highlight w:val="none"/>
          <w14:textFill>
            <w14:solidFill>
              <w14:schemeClr w14:val="tx1"/>
            </w14:solidFill>
          </w14:textFill>
        </w:rPr>
        <w:t>第四部分   采购内容与要求</w:t>
      </w:r>
      <w:bookmarkEnd w:id="18"/>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项目名称：</w:t>
      </w:r>
      <w:r>
        <w:rPr>
          <w:rFonts w:hint="eastAsia" w:ascii="仿宋" w:hAnsi="仿宋" w:eastAsia="仿宋" w:cs="仿宋"/>
          <w:color w:val="000000" w:themeColor="text1"/>
          <w:w w:val="100"/>
          <w:kern w:val="0"/>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采购内容：</w:t>
      </w:r>
      <w:r>
        <w:rPr>
          <w:rFonts w:hint="eastAsia" w:ascii="仿宋" w:hAnsi="仿宋" w:eastAsia="仿宋" w:cs="仿宋"/>
          <w:color w:val="000000" w:themeColor="text1"/>
          <w:w w:val="100"/>
          <w:kern w:val="0"/>
          <w:sz w:val="28"/>
          <w:szCs w:val="28"/>
          <w:highlight w:val="none"/>
          <w:lang w:eastAsia="zh-CN"/>
          <w14:textFill>
            <w14:solidFill>
              <w14:schemeClr w14:val="tx1"/>
            </w14:solidFill>
          </w14:textFill>
        </w:rPr>
        <w:t>威海热电集团有限公司市区公司高压变频器功率单元升级改造项目、博通公司#6炉引风机、一、二次风机变频器升级改造项目</w:t>
      </w:r>
      <w:r>
        <w:rPr>
          <w:rFonts w:hint="eastAsia" w:ascii="仿宋" w:hAnsi="仿宋" w:eastAsia="仿宋" w:cs="仿宋"/>
          <w:color w:val="000000" w:themeColor="text1"/>
          <w:w w:val="100"/>
          <w:kern w:val="0"/>
          <w:sz w:val="28"/>
          <w:szCs w:val="28"/>
          <w:highlight w:val="none"/>
          <w:lang w:val="en-US" w:eastAsia="zh-CN"/>
          <w14:textFill>
            <w14:solidFill>
              <w14:schemeClr w14:val="tx1"/>
            </w14:solidFill>
          </w14:textFill>
        </w:rPr>
        <w:t>。</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w w:val="100"/>
          <w:kern w:val="0"/>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供货周期：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color w:val="000000" w:themeColor="text1"/>
          <w:w w:val="100"/>
          <w:kern w:val="0"/>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市区公司：</w:t>
      </w:r>
      <w:r>
        <w:rPr>
          <w:rFonts w:hint="eastAsia" w:ascii="仿宋" w:hAnsi="仿宋" w:eastAsia="仿宋" w:cs="仿宋"/>
          <w:color w:val="000000" w:themeColor="text1"/>
          <w:w w:val="100"/>
          <w:kern w:val="0"/>
          <w:sz w:val="28"/>
          <w:szCs w:val="28"/>
          <w:highlight w:val="none"/>
          <w:lang w:eastAsia="zh-CN"/>
          <w14:textFill>
            <w14:solidFill>
              <w14:schemeClr w14:val="tx1"/>
            </w14:solidFill>
          </w14:textFill>
        </w:rPr>
        <w:t>合同签订后</w:t>
      </w:r>
      <w:r>
        <w:rPr>
          <w:rFonts w:hint="eastAsia" w:ascii="仿宋" w:hAnsi="仿宋" w:eastAsia="仿宋" w:cs="仿宋"/>
          <w:color w:val="000000" w:themeColor="text1"/>
          <w:w w:val="100"/>
          <w:kern w:val="0"/>
          <w:sz w:val="28"/>
          <w:szCs w:val="28"/>
          <w:highlight w:val="none"/>
          <w:lang w:val="en-US" w:eastAsia="zh-CN"/>
          <w14:textFill>
            <w14:solidFill>
              <w14:schemeClr w14:val="tx1"/>
            </w14:solidFill>
          </w14:textFill>
        </w:rPr>
        <w:t>40天内到货，项目安装应根据甲方实际生产情况决定，自具备施工条件之日起，全部工作须在30日内完成。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仿宋" w:hAnsi="仿宋" w:eastAsia="仿宋" w:cs="仿宋"/>
          <w:color w:val="000000" w:themeColor="text1"/>
          <w:w w:val="100"/>
          <w:kern w:val="0"/>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博通公司</w:t>
      </w:r>
      <w:r>
        <w:rPr>
          <w:rFonts w:hint="eastAsia" w:ascii="仿宋" w:hAnsi="仿宋" w:eastAsia="仿宋" w:cs="仿宋"/>
          <w:color w:val="000000" w:themeColor="text1"/>
          <w:w w:val="100"/>
          <w:kern w:val="0"/>
          <w:sz w:val="28"/>
          <w:szCs w:val="28"/>
          <w:highlight w:val="none"/>
          <w:lang w:val="en-US" w:eastAsia="zh-CN"/>
          <w14:textFill>
            <w14:solidFill>
              <w14:schemeClr w14:val="tx1"/>
            </w14:solidFill>
          </w14:textFill>
        </w:rPr>
        <w:t>：合同签订后30天内到货，项目安装应根据甲方实际生产情况决定，自具备施工条件之日起，全部工作须在30日内完成</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b/>
          <w:bCs/>
          <w:color w:val="000000" w:themeColor="text1"/>
          <w:sz w:val="28"/>
          <w:szCs w:val="28"/>
          <w:highlight w:val="none"/>
          <w:lang w:eastAsia="zh-CN"/>
          <w14:textFill>
            <w14:solidFill>
              <w14:schemeClr w14:val="tx1"/>
            </w14:solidFill>
          </w14:textFill>
        </w:rPr>
      </w:pPr>
      <w:r>
        <w:rPr>
          <w:rFonts w:hint="eastAsia" w:ascii="仿宋" w:hAnsi="仿宋" w:eastAsia="仿宋" w:cs="仿宋"/>
          <w:b/>
          <w:bCs/>
          <w:color w:val="000000" w:themeColor="text1"/>
          <w:sz w:val="28"/>
          <w:szCs w:val="28"/>
          <w:highlight w:val="none"/>
          <w:lang w:eastAsia="zh-CN"/>
          <w14:textFill>
            <w14:solidFill>
              <w14:schemeClr w14:val="tx1"/>
            </w14:solidFill>
          </w14:textFill>
        </w:rPr>
        <w:t>质保期：</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市区公司：</w:t>
      </w:r>
      <w:r>
        <w:rPr>
          <w:rFonts w:hint="eastAsia" w:ascii="仿宋" w:hAnsi="仿宋" w:eastAsia="仿宋" w:cs="仿宋"/>
          <w:color w:val="000000" w:themeColor="text1"/>
          <w:sz w:val="28"/>
          <w:szCs w:val="28"/>
          <w:highlight w:val="none"/>
          <w:lang w:val="en-US" w:eastAsia="zh-CN"/>
          <w14:textFill>
            <w14:solidFill>
              <w14:schemeClr w14:val="tx1"/>
            </w14:solidFill>
          </w14:textFill>
        </w:rPr>
        <w:t>设备投运后2年。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博通公司：</w:t>
      </w: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1.整机质保 36个月，自设备最终验收合格之日起。</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2.关键部件功率单元、IGBT、主控板：同整机质保。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冷却风机、继电器、接触器、风扇：24个月。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电解电容：3 年（设计寿命 ≥10 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软件：终身免费升级 / 维护。</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val="0"/>
          <w:bCs w:val="0"/>
          <w:color w:val="000000" w:themeColor="text1"/>
          <w:sz w:val="28"/>
          <w:szCs w:val="28"/>
          <w:highlight w:val="none"/>
          <w:lang w:val="en-US" w:eastAsia="zh-CN"/>
          <w14:textFill>
            <w14:solidFill>
              <w14:schemeClr w14:val="tx1"/>
            </w14:solidFill>
          </w14:textFill>
        </w:rPr>
        <w:t>3.设计寿命：整机 ≥15 年；MTBF ≥100,000 小时。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五、质量要求：</w:t>
      </w:r>
      <w:r>
        <w:rPr>
          <w:rFonts w:hint="eastAsia" w:ascii="仿宋" w:hAnsi="仿宋" w:eastAsia="仿宋" w:cs="仿宋"/>
          <w:color w:val="000000" w:themeColor="text1"/>
          <w:sz w:val="28"/>
          <w:szCs w:val="28"/>
          <w:highlight w:val="none"/>
          <w:lang w:val="en-US" w:eastAsia="zh-CN"/>
          <w14:textFill>
            <w14:solidFill>
              <w14:schemeClr w14:val="tx1"/>
            </w14:solidFill>
          </w14:textFill>
        </w:rPr>
        <w:t>达到国家、行业及采购人验收规范合格标准</w:t>
      </w:r>
    </w:p>
    <w:p>
      <w:pPr>
        <w:keepNext w:val="0"/>
        <w:keepLines w:val="0"/>
        <w:pageBreakBefore w:val="0"/>
        <w:widowControl w:val="0"/>
        <w:kinsoku/>
        <w:wordWrap/>
        <w:overflowPunct/>
        <w:topLinePunct w:val="0"/>
        <w:autoSpaceDE/>
        <w:autoSpaceDN/>
        <w:bidi w:val="0"/>
        <w:adjustRightInd w:val="0"/>
        <w:snapToGrid w:val="0"/>
        <w:spacing w:line="700" w:lineRule="exact"/>
        <w:ind w:right="0"/>
        <w:textAlignment w:val="auto"/>
        <w:rPr>
          <w:rFonts w:hint="default" w:ascii="仿宋" w:hAnsi="仿宋" w:eastAsia="仿宋" w:cs="仿宋"/>
          <w:b/>
          <w:bCs/>
          <w:color w:val="000000" w:themeColor="text1"/>
          <w:sz w:val="28"/>
          <w:szCs w:val="28"/>
          <w:highlight w:val="none"/>
          <w:lang w:val="en-US" w:eastAsia="zh-CN"/>
          <w14:textFill>
            <w14:solidFill>
              <w14:schemeClr w14:val="tx1"/>
            </w14:solidFill>
          </w14:textFill>
        </w:rPr>
      </w:pPr>
      <w:bookmarkStart w:id="19" w:name="_Toc30486"/>
    </w:p>
    <w:bookmarkEnd w:id="19"/>
    <w:p>
      <w:pPr>
        <w:keepNext w:val="0"/>
        <w:keepLines w:val="0"/>
        <w:pageBreakBefore/>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pacing w:val="-3"/>
          <w:sz w:val="32"/>
          <w:szCs w:val="32"/>
          <w:highlight w:val="none"/>
          <w:lang w:val="en-US" w:eastAsia="zh-CN"/>
        </w:rPr>
      </w:pPr>
      <w:bookmarkStart w:id="20" w:name="bookmark165"/>
      <w:bookmarkEnd w:id="20"/>
      <w:bookmarkStart w:id="21" w:name="_Toc9380"/>
      <w:r>
        <w:rPr>
          <w:rFonts w:hint="eastAsia" w:ascii="宋体" w:hAnsi="宋体" w:eastAsia="宋体" w:cs="宋体"/>
          <w:b/>
          <w:spacing w:val="-3"/>
          <w:sz w:val="32"/>
          <w:szCs w:val="32"/>
          <w:highlight w:val="none"/>
        </w:rPr>
        <w:t>威海热电集团有限公司市区热电分公司</w:t>
      </w:r>
      <w:r>
        <w:rPr>
          <w:rFonts w:hint="eastAsia" w:ascii="宋体" w:hAnsi="宋体" w:cs="宋体"/>
          <w:b/>
          <w:spacing w:val="-3"/>
          <w:sz w:val="32"/>
          <w:szCs w:val="32"/>
          <w:highlight w:val="none"/>
          <w:lang w:val="en-US" w:eastAsia="zh-CN"/>
        </w:rPr>
        <w:t>#11炉风机及#14、15给水泵</w:t>
      </w:r>
      <w:r>
        <w:rPr>
          <w:rFonts w:hint="eastAsia" w:ascii="宋体" w:hAnsi="宋体" w:eastAsia="宋体" w:cs="宋体"/>
          <w:b/>
          <w:spacing w:val="-3"/>
          <w:sz w:val="32"/>
          <w:szCs w:val="32"/>
          <w:highlight w:val="none"/>
          <w:lang w:val="en-US" w:eastAsia="zh-CN"/>
        </w:rPr>
        <w:t>高压变频器功率单元升级改造</w:t>
      </w:r>
    </w:p>
    <w:p>
      <w:pPr>
        <w:keepNext w:val="0"/>
        <w:keepLines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pacing w:val="-3"/>
          <w:sz w:val="32"/>
          <w:szCs w:val="32"/>
          <w:highlight w:val="none"/>
        </w:rPr>
      </w:pPr>
      <w:r>
        <w:rPr>
          <w:rFonts w:hint="eastAsia" w:ascii="宋体" w:hAnsi="宋体" w:eastAsia="宋体" w:cs="宋体"/>
          <w:b/>
          <w:spacing w:val="-3"/>
          <w:sz w:val="32"/>
          <w:szCs w:val="32"/>
          <w:highlight w:val="none"/>
          <w:lang w:val="en-US" w:eastAsia="zh-CN"/>
        </w:rPr>
        <w:t>GQ(SQ)-CN-26-042</w:t>
      </w:r>
    </w:p>
    <w:p>
      <w:pPr>
        <w:keepNext w:val="0"/>
        <w:keepLines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pacing w:val="-3"/>
          <w:sz w:val="32"/>
          <w:szCs w:val="32"/>
          <w:highlight w:val="none"/>
        </w:rPr>
      </w:pPr>
      <w:r>
        <w:rPr>
          <w:rFonts w:hint="eastAsia" w:ascii="宋体" w:hAnsi="宋体" w:eastAsia="宋体" w:cs="宋体"/>
          <w:b/>
          <w:spacing w:val="-3"/>
          <w:sz w:val="32"/>
          <w:szCs w:val="32"/>
          <w:highlight w:val="none"/>
        </w:rPr>
        <w:t>技术规</w:t>
      </w:r>
      <w:r>
        <w:rPr>
          <w:rFonts w:hint="eastAsia" w:ascii="宋体" w:hAnsi="宋体" w:eastAsia="宋体" w:cs="宋体"/>
          <w:b/>
          <w:spacing w:val="-3"/>
          <w:sz w:val="32"/>
          <w:szCs w:val="32"/>
          <w:highlight w:val="none"/>
          <w:lang w:eastAsia="zh-CN"/>
        </w:rPr>
        <w:t>范</w:t>
      </w:r>
      <w:r>
        <w:rPr>
          <w:rFonts w:hint="eastAsia" w:ascii="宋体" w:hAnsi="宋体" w:eastAsia="宋体" w:cs="宋体"/>
          <w:b/>
          <w:spacing w:val="-3"/>
          <w:sz w:val="32"/>
          <w:szCs w:val="32"/>
          <w:highlight w:val="none"/>
        </w:rPr>
        <w:t>书</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22" w:name="_Toc17467747"/>
      <w:bookmarkStart w:id="23" w:name="_Toc534351804"/>
      <w:bookmarkStart w:id="24" w:name="_Toc59974340"/>
      <w:bookmarkStart w:id="25" w:name="_Toc3079"/>
      <w:bookmarkStart w:id="26" w:name="_Toc59973825"/>
      <w:bookmarkStart w:id="27" w:name="_Toc183400583"/>
      <w:r>
        <w:rPr>
          <w:rFonts w:hint="eastAsia" w:ascii="仿宋" w:hAnsi="仿宋" w:eastAsia="仿宋" w:cs="仿宋"/>
          <w:sz w:val="28"/>
          <w:szCs w:val="28"/>
          <w:highlight w:val="none"/>
        </w:rPr>
        <w:t>1 总则</w:t>
      </w:r>
      <w:bookmarkEnd w:id="22"/>
      <w:bookmarkEnd w:id="23"/>
      <w:bookmarkEnd w:id="24"/>
      <w:bookmarkEnd w:id="25"/>
      <w:bookmarkEnd w:id="26"/>
      <w:bookmarkEnd w:id="27"/>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1.1  本技术规范书适用于威海热电集团有限公司</w:t>
      </w:r>
      <w:r>
        <w:rPr>
          <w:rFonts w:hint="eastAsia" w:ascii="仿宋" w:hAnsi="仿宋" w:eastAsia="仿宋" w:cs="仿宋"/>
          <w:sz w:val="28"/>
          <w:szCs w:val="28"/>
          <w:highlight w:val="none"/>
          <w:lang w:val="en-US" w:eastAsia="zh-CN"/>
        </w:rPr>
        <w:t>市区热电分公司（以下简称市区公司）#11炉风机及#14、15给水泵高压</w:t>
      </w:r>
      <w:r>
        <w:rPr>
          <w:rFonts w:hint="eastAsia" w:ascii="仿宋" w:hAnsi="仿宋" w:eastAsia="仿宋" w:cs="仿宋"/>
          <w:sz w:val="28"/>
          <w:szCs w:val="28"/>
          <w:highlight w:val="none"/>
        </w:rPr>
        <w:t>变频器</w:t>
      </w:r>
      <w:r>
        <w:rPr>
          <w:rFonts w:hint="eastAsia" w:ascii="仿宋" w:hAnsi="仿宋" w:eastAsia="仿宋" w:cs="仿宋"/>
          <w:sz w:val="28"/>
          <w:szCs w:val="28"/>
          <w:highlight w:val="none"/>
          <w:lang w:val="en-US" w:eastAsia="zh-CN"/>
        </w:rPr>
        <w:t>功率单元升级</w:t>
      </w:r>
      <w:r>
        <w:rPr>
          <w:rFonts w:hint="eastAsia" w:ascii="仿宋" w:hAnsi="仿宋" w:eastAsia="仿宋" w:cs="仿宋"/>
          <w:sz w:val="28"/>
          <w:szCs w:val="28"/>
          <w:highlight w:val="none"/>
        </w:rPr>
        <w:t>改造的技术要求。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1.2本设备技术规范书提出的是最低限度的技术要求，并未对一切技术细节作出规定，也未充分引述有关标准和规范的条文。</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方保证提供符合国家有关安全、环保等强制规范要求和现行中国通用标准（若无相关的国内、国际标准，则满足引进国或所在国国家或国外生产企业的标准）的优质产品。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1.3 </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方应以书面形式对本规范书的条款逐条做出详细应答，确认对本规范书要求的满足和差异，对偏差部分应列出偏差表作详细描述。</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1.4 本技术规范书所使用的标准如与</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方所执行的标准有偏差时，按高标准执行。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1.5 本技术规范书经</w:t>
      </w:r>
      <w:r>
        <w:rPr>
          <w:rFonts w:hint="eastAsia" w:ascii="仿宋" w:hAnsi="仿宋" w:eastAsia="仿宋" w:cs="仿宋"/>
          <w:sz w:val="28"/>
          <w:szCs w:val="28"/>
          <w:highlight w:val="none"/>
          <w:lang w:val="en-US" w:eastAsia="zh-CN"/>
        </w:rPr>
        <w:t>招标、投标</w:t>
      </w:r>
      <w:r>
        <w:rPr>
          <w:rFonts w:hint="eastAsia" w:ascii="仿宋" w:hAnsi="仿宋" w:eastAsia="仿宋" w:cs="仿宋"/>
          <w:sz w:val="28"/>
          <w:szCs w:val="28"/>
          <w:highlight w:val="none"/>
        </w:rPr>
        <w:t>双方确认后作为订货合同的技术附件，与合同正文具有同等的法律效力。</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1.6 本技术规范书未尽事宜，由</w:t>
      </w:r>
      <w:r>
        <w:rPr>
          <w:rFonts w:hint="eastAsia" w:ascii="仿宋" w:hAnsi="仿宋" w:eastAsia="仿宋" w:cs="仿宋"/>
          <w:sz w:val="28"/>
          <w:szCs w:val="28"/>
          <w:highlight w:val="none"/>
          <w:lang w:val="en-US" w:eastAsia="zh-CN"/>
        </w:rPr>
        <w:t>招标、投标</w:t>
      </w:r>
      <w:r>
        <w:rPr>
          <w:rFonts w:hint="eastAsia" w:ascii="仿宋" w:hAnsi="仿宋" w:eastAsia="仿宋" w:cs="仿宋"/>
          <w:sz w:val="28"/>
          <w:szCs w:val="28"/>
          <w:highlight w:val="none"/>
        </w:rPr>
        <w:t>双方协商确定。</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1.7 标准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本规范书提出了最低限度的技术要求，并未规定所有的技术要求和适用的标准，对国家有关的强制性标准，必须满足其要求。</w:t>
      </w:r>
    </w:p>
    <w:p>
      <w:pPr>
        <w:spacing w:line="240" w:lineRule="auto"/>
        <w:ind w:firstLine="561"/>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rPr>
        <w:t xml:space="preserve">DLT1648-2016     </w:t>
      </w:r>
      <w:r>
        <w:rPr>
          <w:rFonts w:hint="eastAsia" w:ascii="仿宋" w:hAnsi="仿宋" w:eastAsia="仿宋" w:cs="仿宋"/>
          <w:b w:val="0"/>
          <w:bCs/>
          <w:spacing w:val="-6"/>
          <w:sz w:val="28"/>
          <w:szCs w:val="28"/>
          <w:highlight w:val="none"/>
        </w:rPr>
        <w:t>发电厂及变电站辅机变频器高低电压穿越技术规范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GB/T14549-1993   电能质量：公用电网谐波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DL/T539-93       </w:t>
      </w:r>
      <w:r>
        <w:rPr>
          <w:rFonts w:hint="eastAsia" w:ascii="仿宋" w:hAnsi="仿宋" w:eastAsia="仿宋" w:cs="仿宋"/>
          <w:spacing w:val="-8"/>
          <w:sz w:val="28"/>
          <w:szCs w:val="28"/>
          <w:highlight w:val="none"/>
        </w:rPr>
        <w:t>户内交流高压开关柜和元件凝露及污秽试验技术条件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GB13471-2008     节电技术经济效益计算与评价评价</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 12668-90      交流电动机半导体变频调速装置总技术条件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DL/T1111-2009    火力发电厂厂用高压电动机调速节能导则</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DL/T994-2006     火力发电厂风机水泵用高压变频器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5136        火力发电厂、变电所二次接线设计技术规定</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596-2005    电气设备预防性试验规程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DL/T1054-2007    高压电气设备绝缘技术监督规程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GB 50171-2012   </w:t>
      </w:r>
      <w:r>
        <w:rPr>
          <w:rFonts w:hint="eastAsia" w:ascii="仿宋" w:hAnsi="仿宋" w:eastAsia="仿宋" w:cs="仿宋"/>
          <w:spacing w:val="-10"/>
          <w:sz w:val="28"/>
          <w:szCs w:val="28"/>
          <w:highlight w:val="none"/>
        </w:rPr>
        <w:t>电气装置安装工程盘柜及二次回路结线施工及验收规范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GB50150-2006     电气装置安装工程电气设备交接试验标准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GB50169-2006     电气装置安装工程接地装置施工及验收规范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GB50170-2006     电气装置安装工程旋转电机施工及验收规范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GB/T 14285-2006  继电保护和安全自动装置技术规程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GB50147-2010     电气装置安装工程高压电器施工及验收规范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5161-2002   电气装置安装工程质量检验及评定规程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 50254-96      电气装置安装工程低压电器施工及验收规范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 5009.1-2002   电力建设安全工作规程（火力发电厂部分）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GB50303          建筑电气工程施工质量验收规范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GB 12668         </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172.17.16.12:809/page/tbsbrowser.cbs?urlname=tbss%3A%2F%2F2Ui9i38FjdSuiJVeUXaU%2FHzW%2FN%2DWo7PK2bk%2DPPFtT4HgSjHpDU0E0rQmCkLiPwADu0PodmtMzrADzrgk1GG6%2FaB%2DjY5nNZxseenSOxkiROIXUsunXwqNQet3RUAuOHQFBj4GNyQWxLEStLhB0TgebeYsmsj5PZM5FcjTCEOLeqBWp%2D11EieotWyRbut2H6CXjH4z8Dn7d4aiGX%2DP82PF1zzIVvvqcOKInzl7YUcRgApjASVnvsYvxP4cFRVKQvm4jjjZybEdHsg" \t "_blank"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调速电气传动系统</w:t>
      </w:r>
      <w:r>
        <w:rPr>
          <w:rFonts w:hint="eastAsia" w:ascii="仿宋" w:hAnsi="仿宋" w:eastAsia="仿宋" w:cs="仿宋"/>
          <w:sz w:val="28"/>
          <w:szCs w:val="28"/>
          <w:highlight w:val="none"/>
        </w:rPr>
        <w:fldChar w:fldCharType="end"/>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GB311-83         高压电气设备绝缘试验电压和试验方法</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规范书中所有设备、备品备件，除规定的技术要求和参数外，其余均应遵照最新版的IEC标准及相关规程、规范要求。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方在执行本规范书所列标准有矛盾时，按较高标准执行。</w:t>
      </w:r>
    </w:p>
    <w:p>
      <w:pPr>
        <w:spacing w:line="240" w:lineRule="auto"/>
        <w:ind w:firstLine="560"/>
        <w:rPr>
          <w:rFonts w:hint="eastAsia" w:ascii="仿宋" w:hAnsi="仿宋" w:eastAsia="仿宋" w:cs="仿宋"/>
          <w:b/>
          <w:bCs/>
          <w:sz w:val="28"/>
          <w:szCs w:val="28"/>
          <w:highlight w:val="none"/>
        </w:rPr>
      </w:pPr>
      <w:bookmarkStart w:id="28" w:name="_Toc17467748"/>
      <w:bookmarkStart w:id="29" w:name="_Toc20747"/>
      <w:r>
        <w:rPr>
          <w:rFonts w:hint="eastAsia" w:ascii="仿宋" w:hAnsi="仿宋" w:eastAsia="仿宋" w:cs="仿宋"/>
          <w:b/>
          <w:bCs/>
          <w:sz w:val="28"/>
          <w:szCs w:val="28"/>
          <w:highlight w:val="none"/>
        </w:rPr>
        <w:t>2 工程概况</w:t>
      </w:r>
      <w:bookmarkEnd w:id="28"/>
      <w:bookmarkEnd w:id="29"/>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#11炉风机及#14、15给水泵高压变频器2014年投运至今，近几年变频器功率单元故障率增加，发生多次重故障切工频运行。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根据生产经营计划安排并结合设备寿命管理，本次对变频器功率单元柜进行升级改造（变压器柜、旁路柜不升级），改造时保留功率单元柜体不动，只对内部的功率单元、控制板、监控器、电源系统等进行升级、布线、调试改造,所有改造项目由投标方施工完成。</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30" w:name="_Toc17467749"/>
      <w:r>
        <w:rPr>
          <w:rFonts w:hint="eastAsia" w:ascii="仿宋" w:hAnsi="仿宋" w:eastAsia="仿宋" w:cs="仿宋"/>
          <w:sz w:val="28"/>
          <w:szCs w:val="28"/>
          <w:highlight w:val="none"/>
        </w:rPr>
        <w:t>3 技术要求</w:t>
      </w:r>
      <w:bookmarkEnd w:id="30"/>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投标方应</w:t>
      </w:r>
      <w:r>
        <w:rPr>
          <w:rFonts w:hint="eastAsia" w:ascii="仿宋" w:hAnsi="仿宋" w:eastAsia="仿宋" w:cs="仿宋"/>
          <w:sz w:val="28"/>
          <w:szCs w:val="28"/>
          <w:highlight w:val="none"/>
        </w:rPr>
        <w:t>采用成熟、稳定的产品和技术。</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改造的设备必须符合1.7的各项标准要求，改造后应对设备进行必要的检查与试验，以保证整个设计和改造符合规程要求，</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还应向</w:t>
      </w:r>
      <w:r>
        <w:rPr>
          <w:rFonts w:hint="eastAsia" w:ascii="仿宋" w:hAnsi="仿宋" w:eastAsia="仿宋" w:cs="仿宋"/>
          <w:sz w:val="28"/>
          <w:szCs w:val="28"/>
          <w:highlight w:val="none"/>
          <w:lang w:val="en-US" w:eastAsia="zh-CN"/>
        </w:rPr>
        <w:t>招标方</w:t>
      </w:r>
      <w:r>
        <w:rPr>
          <w:rFonts w:hint="eastAsia" w:ascii="仿宋" w:hAnsi="仿宋" w:eastAsia="仿宋" w:cs="仿宋"/>
          <w:sz w:val="28"/>
          <w:szCs w:val="28"/>
          <w:highlight w:val="none"/>
        </w:rPr>
        <w:t>提供试验报告。</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应向</w:t>
      </w:r>
      <w:r>
        <w:rPr>
          <w:rFonts w:hint="eastAsia" w:ascii="仿宋" w:hAnsi="仿宋" w:eastAsia="仿宋" w:cs="仿宋"/>
          <w:sz w:val="28"/>
          <w:szCs w:val="28"/>
          <w:highlight w:val="none"/>
          <w:lang w:val="en-US" w:eastAsia="zh-CN"/>
        </w:rPr>
        <w:t>招标方</w:t>
      </w:r>
      <w:r>
        <w:rPr>
          <w:rFonts w:hint="eastAsia" w:ascii="仿宋" w:hAnsi="仿宋" w:eastAsia="仿宋" w:cs="仿宋"/>
          <w:sz w:val="28"/>
          <w:szCs w:val="28"/>
          <w:highlight w:val="none"/>
        </w:rPr>
        <w:t>保证所供配件是技术先进、成熟可靠的全新配件或产品。在材料选择方面应准确无误，制作工艺无任何缺陷和疏忽。技术文件及图纸要清晰、正确、完整，能满足项目的安装及正常运行和维护的要求。</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3.3对配套设备的要求</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3.3.1本规范书所涉及的设备，如由其他厂家配套的应由</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统一协调，并对厂家提供的产品质量及进度负责。</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3.3.2所有外购件应由</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负责选择，采用性能可靠的优质产品。并</w:t>
      </w:r>
      <w:r>
        <w:rPr>
          <w:rFonts w:hint="eastAsia" w:ascii="仿宋" w:hAnsi="仿宋" w:eastAsia="仿宋" w:cs="仿宋"/>
          <w:sz w:val="28"/>
          <w:szCs w:val="28"/>
          <w:highlight w:val="none"/>
          <w:lang w:val="en-US" w:eastAsia="zh-CN"/>
        </w:rPr>
        <w:t>附</w:t>
      </w:r>
      <w:r>
        <w:rPr>
          <w:rFonts w:hint="eastAsia" w:ascii="仿宋" w:hAnsi="仿宋" w:eastAsia="仿宋" w:cs="仿宋"/>
          <w:sz w:val="28"/>
          <w:szCs w:val="28"/>
          <w:highlight w:val="none"/>
        </w:rPr>
        <w:t>有相应的产品合格证和说明书，并取得</w:t>
      </w:r>
      <w:r>
        <w:rPr>
          <w:rFonts w:hint="eastAsia" w:ascii="仿宋" w:hAnsi="仿宋" w:eastAsia="仿宋" w:cs="仿宋"/>
          <w:sz w:val="28"/>
          <w:szCs w:val="28"/>
          <w:highlight w:val="none"/>
          <w:lang w:val="en-US" w:eastAsia="zh-CN"/>
        </w:rPr>
        <w:t>招标方</w:t>
      </w:r>
      <w:r>
        <w:rPr>
          <w:rFonts w:hint="eastAsia" w:ascii="仿宋" w:hAnsi="仿宋" w:eastAsia="仿宋" w:cs="仿宋"/>
          <w:sz w:val="28"/>
          <w:szCs w:val="28"/>
          <w:highlight w:val="none"/>
        </w:rPr>
        <w:t>认可方能使用。</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3.4在安装、调试及质保期内因质量问题引起的设备部件的损坏，由</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免费更换。</w:t>
      </w:r>
    </w:p>
    <w:p>
      <w:pPr>
        <w:spacing w:before="120"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3.5</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应提出施工现场安装注意事项及安装质量标准。系统正常后进行现场调试，测试内容按现场试验方法要求逐项进行并记录。验收合格后进入</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年质保期。</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3.6</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在应答文件中应对本项目执行的质量保证体系进行简要的介绍，对质量的保证措施进行必要的说明。</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3.7为了减小现场施工量，缩短现场施工周期，节省人力物力成本。要求所有改造不砸墙，不移机，并保留原设备的屏柜及外壳壳体，从而不影响设备及房间布局，不影响原有房间消防通道及应急通道，不影响原有散热系统等。</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3.8</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改造过程中涉及柜体及其内部原有铜排等位置或尺寸发生变化时，所需的材料全部由</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负责。原控制柜体电缆进线方式均为下进线方式，电缆连接方式及对外接口与原设备完全相同。</w:t>
      </w:r>
    </w:p>
    <w:p>
      <w:pPr>
        <w:spacing w:line="240" w:lineRule="auto"/>
        <w:ind w:firstLine="561"/>
        <w:rPr>
          <w:rFonts w:hint="eastAsia" w:ascii="仿宋" w:hAnsi="仿宋" w:eastAsia="仿宋" w:cs="仿宋"/>
          <w:b w:val="0"/>
          <w:bCs/>
          <w:i w:val="0"/>
          <w:iCs w:val="0"/>
          <w:sz w:val="28"/>
          <w:szCs w:val="28"/>
          <w:highlight w:val="none"/>
        </w:rPr>
      </w:pPr>
      <w:r>
        <w:rPr>
          <w:rFonts w:hint="eastAsia" w:ascii="仿宋" w:hAnsi="仿宋" w:eastAsia="仿宋" w:cs="仿宋"/>
          <w:b w:val="0"/>
          <w:bCs/>
          <w:i w:val="0"/>
          <w:iCs w:val="0"/>
          <w:sz w:val="28"/>
          <w:szCs w:val="28"/>
          <w:highlight w:val="none"/>
        </w:rPr>
        <w:t>3.9为了保证功率模块的整体性能，</w:t>
      </w:r>
      <w:r>
        <w:rPr>
          <w:rFonts w:hint="eastAsia" w:ascii="仿宋" w:hAnsi="仿宋" w:eastAsia="仿宋" w:cs="仿宋"/>
          <w:sz w:val="28"/>
          <w:szCs w:val="28"/>
          <w:highlight w:val="none"/>
        </w:rPr>
        <w:t>IGBT</w:t>
      </w:r>
      <w:r>
        <w:rPr>
          <w:rFonts w:hint="eastAsia" w:ascii="仿宋" w:hAnsi="仿宋" w:eastAsia="仿宋" w:cs="仿宋"/>
          <w:sz w:val="28"/>
          <w:szCs w:val="28"/>
          <w:highlight w:val="none"/>
          <w:lang w:val="en-US" w:eastAsia="zh-CN"/>
        </w:rPr>
        <w:t>应</w:t>
      </w:r>
      <w:r>
        <w:rPr>
          <w:rFonts w:hint="eastAsia" w:ascii="仿宋" w:hAnsi="仿宋" w:eastAsia="仿宋" w:cs="仿宋"/>
          <w:sz w:val="28"/>
          <w:szCs w:val="28"/>
          <w:highlight w:val="none"/>
          <w:lang w:eastAsia="zh-CN"/>
        </w:rPr>
        <w:t>选用等同于或优于</w:t>
      </w:r>
      <w:r>
        <w:rPr>
          <w:rFonts w:hint="eastAsia" w:ascii="仿宋" w:hAnsi="仿宋" w:eastAsia="仿宋" w:cs="仿宋"/>
          <w:sz w:val="28"/>
          <w:szCs w:val="28"/>
          <w:highlight w:val="none"/>
        </w:rPr>
        <w:t>德国英飞凌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德国西门康、富士等品牌的产品</w:t>
      </w:r>
      <w:r>
        <w:rPr>
          <w:rFonts w:hint="eastAsia" w:ascii="仿宋" w:hAnsi="仿宋" w:eastAsia="仿宋" w:cs="仿宋"/>
          <w:b w:val="0"/>
          <w:bCs/>
          <w:i w:val="0"/>
          <w:iCs w:val="0"/>
          <w:sz w:val="28"/>
          <w:szCs w:val="28"/>
          <w:highlight w:val="none"/>
        </w:rPr>
        <w:t>，且电流容量不少于模块额定电流2倍的配置，选用单只IGBT。电解电容</w:t>
      </w:r>
      <w:r>
        <w:rPr>
          <w:rFonts w:hint="eastAsia" w:ascii="仿宋" w:hAnsi="仿宋" w:eastAsia="仿宋" w:cs="仿宋"/>
          <w:b w:val="0"/>
          <w:bCs/>
          <w:i w:val="0"/>
          <w:iCs w:val="0"/>
          <w:sz w:val="28"/>
          <w:szCs w:val="28"/>
          <w:highlight w:val="none"/>
          <w:lang w:val="en-US" w:eastAsia="zh-CN"/>
        </w:rPr>
        <w:t>应</w:t>
      </w:r>
      <w:r>
        <w:rPr>
          <w:rFonts w:hint="eastAsia" w:ascii="仿宋" w:hAnsi="仿宋" w:eastAsia="仿宋" w:cs="仿宋"/>
          <w:sz w:val="28"/>
          <w:szCs w:val="28"/>
          <w:highlight w:val="none"/>
          <w:lang w:eastAsia="zh-CN"/>
        </w:rPr>
        <w:t>选用等同于或优于</w:t>
      </w:r>
      <w:r>
        <w:rPr>
          <w:rFonts w:hint="eastAsia" w:ascii="仿宋" w:hAnsi="仿宋" w:eastAsia="仿宋" w:cs="仿宋"/>
          <w:b w:val="0"/>
          <w:bCs/>
          <w:i w:val="0"/>
          <w:iCs w:val="0"/>
          <w:sz w:val="28"/>
          <w:szCs w:val="28"/>
          <w:highlight w:val="none"/>
        </w:rPr>
        <w:t>日本黑金刚、EPCOS、SLANVERT产品，并在应答文件中注明所使用IGBT及电解电容品牌和型号。</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3.10为解决控制系统的兼容问题及原控制系统不稳定性，</w:t>
      </w:r>
      <w:r>
        <w:rPr>
          <w:rFonts w:hint="eastAsia" w:ascii="仿宋" w:hAnsi="仿宋" w:eastAsia="仿宋" w:cs="仿宋"/>
          <w:sz w:val="28"/>
          <w:szCs w:val="28"/>
          <w:highlight w:val="none"/>
          <w:lang w:val="en-US" w:eastAsia="zh-CN"/>
        </w:rPr>
        <w:t>投标方</w:t>
      </w:r>
      <w:r>
        <w:rPr>
          <w:rFonts w:hint="eastAsia" w:ascii="仿宋" w:hAnsi="仿宋" w:eastAsia="仿宋" w:cs="仿宋"/>
          <w:sz w:val="28"/>
          <w:szCs w:val="28"/>
          <w:highlight w:val="none"/>
        </w:rPr>
        <w:t>须采用更换为全新主控制系统方案。由</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方根据现场控制柜尺寸大小定制，直接现场更换，保留原有控制柜柜体。</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3.11改造过程中对原有变压器</w:t>
      </w:r>
      <w:r>
        <w:rPr>
          <w:rFonts w:hint="eastAsia" w:ascii="仿宋" w:hAnsi="仿宋" w:eastAsia="仿宋" w:cs="仿宋"/>
          <w:sz w:val="28"/>
          <w:szCs w:val="28"/>
          <w:highlight w:val="none"/>
          <w:lang w:val="en-US" w:eastAsia="zh-CN"/>
        </w:rPr>
        <w:t>柜</w:t>
      </w:r>
      <w:r>
        <w:rPr>
          <w:rFonts w:hint="eastAsia" w:ascii="仿宋" w:hAnsi="仿宋" w:eastAsia="仿宋" w:cs="仿宋"/>
          <w:sz w:val="28"/>
          <w:szCs w:val="28"/>
          <w:highlight w:val="none"/>
        </w:rPr>
        <w:t>及</w:t>
      </w:r>
      <w:r>
        <w:rPr>
          <w:rFonts w:hint="eastAsia" w:ascii="仿宋" w:hAnsi="仿宋" w:eastAsia="仿宋" w:cs="仿宋"/>
          <w:sz w:val="28"/>
          <w:szCs w:val="28"/>
          <w:highlight w:val="none"/>
          <w:lang w:val="en-US" w:eastAsia="zh-CN"/>
        </w:rPr>
        <w:t>旁路</w:t>
      </w:r>
      <w:r>
        <w:rPr>
          <w:rFonts w:hint="eastAsia" w:ascii="仿宋" w:hAnsi="仿宋" w:eastAsia="仿宋" w:cs="仿宋"/>
          <w:sz w:val="28"/>
          <w:szCs w:val="28"/>
          <w:highlight w:val="none"/>
        </w:rPr>
        <w:t>柜进行清理保养，改造后变频装置整个系统的效率（包括输入移相变压器等）达到96%以上。</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3.12变频装置的功率单元为更改后功率单元为单体化、模块化设计，方便从机架上抽出、移动和变换，应能布置于原柜体内部，所有单元可以互换。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3.13变频器仍采用高—高单元串联多电平PWM电压源型交－直－交变频器。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3.14 高压电源的瞬间闪变及6kV高压工作电源切备用电源期间不应对变频器有影响。变频器有高低电压穿越功能，需符合《发电厂及变电站辅机变频器高低电压穿越技术规范》（提供中国电科院或国家电控配电设备质量监督检验中心认证的检验报告），变频器在工作时可以承受电网电压波动至-10%~-25%的影响降容运行而不停机。</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3.15变频装置I/O可根据用户的要求进行参数化，变频装置所能提供的I/O接口应满足现场接口需要。频率分辩率0.01HZ。</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3.16变频装置输出必须符合IEEE 519 1992及中国供电部门对电压失真最严格的要求，高于国标GB14549-93对谐波失真4%的要求。</w:t>
      </w:r>
    </w:p>
    <w:p>
      <w:pPr>
        <w:spacing w:line="240" w:lineRule="auto"/>
        <w:ind w:firstLine="560"/>
        <w:rPr>
          <w:rFonts w:hint="eastAsia" w:ascii="仿宋" w:hAnsi="仿宋" w:eastAsia="仿宋" w:cs="仿宋"/>
          <w:b w:val="0"/>
          <w:bCs w:val="0"/>
          <w:i w:val="0"/>
          <w:iCs w:val="0"/>
          <w:sz w:val="28"/>
          <w:szCs w:val="28"/>
          <w:highlight w:val="none"/>
        </w:rPr>
      </w:pPr>
      <w:r>
        <w:rPr>
          <w:rFonts w:hint="eastAsia" w:ascii="仿宋" w:hAnsi="仿宋" w:eastAsia="仿宋" w:cs="仿宋"/>
          <w:sz w:val="28"/>
          <w:szCs w:val="28"/>
          <w:highlight w:val="none"/>
        </w:rPr>
        <w:t>3.17</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方所提供的变频装置主控制器与功率模块之间通讯应全部采用光纤电缆连接，且为满足通讯的高精度与高准确性，</w:t>
      </w:r>
      <w:r>
        <w:rPr>
          <w:rFonts w:hint="eastAsia" w:ascii="仿宋" w:hAnsi="仿宋" w:eastAsia="仿宋" w:cs="仿宋"/>
          <w:b w:val="0"/>
          <w:bCs w:val="0"/>
          <w:i w:val="0"/>
          <w:iCs w:val="0"/>
          <w:sz w:val="28"/>
          <w:szCs w:val="28"/>
          <w:highlight w:val="none"/>
        </w:rPr>
        <w:t>必须采用单个功率模块与主控制器之间有单独的光纤通讯，以提高通讯的精度、准确性、快速性和抗干扰能力。为了避免控制掉电对功率单元的影响，功率单元控制系统电源应取自单元直流母线。</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3.18为了提高控制系统的响应速度和对系统的保护能力，避免多块板件箱体插拔式控制器的通讯弊端，高压变频器采用DSP+FPGA+ARM三核控制系统，集成化程度更高的系统，所有功能集成在一张主板上，板件之间的连接禁止采用插拔方式，应采用硬连接等更可靠的连接方式。</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3.19变频装置能远距离操作，并可对其进行远程/本地控制的切换。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3.20变频装置带故障自诊断功能，能对所发生的故障类型及故障位置提供中文指示，能在就地显示并远方报警，便于运行人员和检修人员能辨别和解决所出现的问题。</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3.21 变频调速装置应具有良好的调节性能，能根据负荷的变化及时有效地实现调节，负荷从100%到</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0%</w:t>
      </w:r>
      <w:r>
        <w:rPr>
          <w:rFonts w:hint="eastAsia" w:ascii="仿宋" w:hAnsi="仿宋" w:eastAsia="仿宋" w:cs="仿宋"/>
          <w:sz w:val="28"/>
          <w:szCs w:val="28"/>
          <w:highlight w:val="none"/>
          <w:lang w:val="en-US" w:eastAsia="zh-CN"/>
        </w:rPr>
        <w:t>可调，</w:t>
      </w:r>
      <w:r>
        <w:rPr>
          <w:rFonts w:hint="eastAsia" w:ascii="仿宋" w:hAnsi="仿宋" w:eastAsia="仿宋" w:cs="仿宋"/>
          <w:sz w:val="28"/>
          <w:szCs w:val="28"/>
          <w:highlight w:val="none"/>
        </w:rPr>
        <w:t>在负荷从100%调节到40%的响应时间小于1min。（现场1s—3600s可调）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3.22变频装置具有加减速自适应功能：保证变频器在不正确的加减速设定时间或负荷变化情况调速过程中，装置不会出现加速过流保护停机，减速过压保护停机的现象。</w:t>
      </w:r>
    </w:p>
    <w:p>
      <w:pPr>
        <w:spacing w:line="240" w:lineRule="auto"/>
        <w:ind w:firstLine="560"/>
        <w:rPr>
          <w:rFonts w:hint="eastAsia" w:ascii="仿宋" w:hAnsi="仿宋" w:eastAsia="仿宋" w:cs="仿宋"/>
          <w:sz w:val="28"/>
          <w:szCs w:val="28"/>
          <w:highlight w:val="none"/>
          <w:lang w:val="en-US"/>
        </w:rPr>
      </w:pPr>
      <w:r>
        <w:rPr>
          <w:rFonts w:hint="eastAsia" w:ascii="仿宋" w:hAnsi="仿宋" w:eastAsia="仿宋" w:cs="仿宋"/>
          <w:sz w:val="28"/>
          <w:szCs w:val="28"/>
          <w:highlight w:val="none"/>
        </w:rPr>
        <w:t>3.23变频器的平均无故障运行时间不小于1万小时，</w:t>
      </w:r>
      <w:r>
        <w:rPr>
          <w:rFonts w:hint="eastAsia" w:ascii="仿宋" w:hAnsi="仿宋" w:eastAsia="仿宋" w:cs="仿宋"/>
          <w:sz w:val="28"/>
          <w:szCs w:val="28"/>
          <w:highlight w:val="none"/>
          <w:lang w:val="en-US" w:eastAsia="zh-CN"/>
        </w:rPr>
        <w:t>变频器出现轻故障报警（如冷却风机停运、温度高时）时能提醒运行人员并进行报警信息上传，</w:t>
      </w:r>
      <w:r>
        <w:rPr>
          <w:rFonts w:hint="eastAsia" w:ascii="仿宋" w:hAnsi="仿宋" w:eastAsia="仿宋" w:cs="仿宋"/>
          <w:sz w:val="28"/>
          <w:szCs w:val="28"/>
          <w:highlight w:val="none"/>
        </w:rPr>
        <w:t>但变频器</w:t>
      </w:r>
      <w:r>
        <w:rPr>
          <w:rFonts w:hint="eastAsia" w:ascii="仿宋" w:hAnsi="仿宋" w:eastAsia="仿宋" w:cs="仿宋"/>
          <w:sz w:val="28"/>
          <w:szCs w:val="28"/>
          <w:highlight w:val="none"/>
          <w:lang w:val="en-US" w:eastAsia="zh-CN"/>
        </w:rPr>
        <w:t>不能停止运行；重故障时要求提供由变频转工频运行接口，保证用户电机不停运。</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3.24变频装置具备的保护功能和保护动作值：</w:t>
      </w:r>
      <w:bookmarkStart w:id="31" w:name="_2、HARSVERT-A高压变频器的原理"/>
      <w:bookmarkEnd w:id="31"/>
      <w:r>
        <w:rPr>
          <w:rFonts w:hint="eastAsia" w:ascii="仿宋" w:hAnsi="仿宋" w:eastAsia="仿宋" w:cs="仿宋"/>
          <w:sz w:val="28"/>
          <w:szCs w:val="28"/>
          <w:highlight w:val="none"/>
        </w:rPr>
        <w:t>具备欠电压、过电压、缺相、变频器过电流、逆变器短路、接地故障、通讯故障、测量信号丢失、冷却风机故障保护功能。上述保护要求同时具备硬件保护和软件保护两种方式，对于电流型、电压型、温度型保护，保护动作定值和时间用户分别可以进行整定。并能联跳输入侧6kV开关。保护的性能应符合国家有关标准的规定。变频装置应具有事故追忆功能，并能上传事故信息。保护至少应满足：</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3.24.1过载保护：电机额定电流的120%，允许1分钟，超过则保护。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3.24.2 过流保护：变频器输出电流超过电机额定电流的150％，3s保护；额定电流200%，在10微秒内保护。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3.24.3过压保护：检测每个功率模块的直流母线电压，如果超过额定电压的120%，则变频器保护。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3.24.4欠压保护：检测每个功率模块的直流母线电压，如果低于欠压保护定值，则变频器保护。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3.24.5过热保护：包括两重保护，在变频调速系统柜体内设置温度检测，当环境温度超过预先设置的值时，发报警信号；另外，在主要的发热元件，即移相变压器和电力电子功率器元件上放置温度检测，一旦超过极限温度，则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3.24.6缺相保护：缺相保护设置在每个功率模块上，当变频器输入侧掉相系统发出报警信号,并保护；功率模块的保险熔芯熔断缺相时，系统会发出报警信号，同时允许模块旁路运行。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3.24.7光纤故障保护。当控制器与功率模块之间的连接光纤出现故障时，会发出报警信号并保护。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3.25变频器瞬时断电再上电的能力，变频器具备掉电20秒内来电自启动和转速跟踪功能。当电网电压消失后，电机转速下降，如果在20秒内电源恢复，变频器自动搜索跟踪电动机转速按照设定曲线恢复到停机前的运行状态，无初始化时间。</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3.26 变频器应具备自保持功能。即当DCS失电等外部原因引起输出给定指令消失时，变频器应能保持指令消失前的状态运行。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3.26变频装置输出波形不会引起电机的谐振，可以设置3组临界转速，避开负载电机的共振转速。</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3.27变频装置核心控制板件及附属设备外供电源为交流220V。</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3.28变频装置就地控制窗口必须采用全中文操作界面，采用一体化，触摸式界面，功能设定,参数设定，故障显示和查询，变频器参数查询及设置、系统自诊断等均应采用中文，远方和就地控制切换功能，变频装置的控制面板上应有显示速度、输入电流、输入电压、输出电流、输出电压、变频器运行状态。</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方负责监控软件免费升级。</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应满足DCS控制要求。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3.29 变频装置改造部位必须进行满功率带负荷的整体测试,以确保整套系统的可靠性。</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3.30当电网掉电又重新来电时，为了保证采样数据的准确性，电机在低频（10Hz）下无冲击再启动，高压变频器输入输出电压检测不允许采用互感器方案，需采取高压无感电阻检测方案。</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3.31为减少功率单元故障，保障功率单元内部控制板的供电可靠性，单元内部控制板件电源必须取自功率单元本身，不得以外接电源的方式来实现。</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3.32</w:t>
      </w:r>
      <w:r>
        <w:rPr>
          <w:rFonts w:hint="eastAsia" w:ascii="仿宋" w:hAnsi="仿宋" w:eastAsia="仿宋" w:cs="仿宋"/>
          <w:sz w:val="28"/>
          <w:szCs w:val="28"/>
          <w:highlight w:val="none"/>
        </w:rPr>
        <w:t>单元内部处理器必须使用FPGA芯片，为保障设备运行可靠性，功率单元应具有</w:t>
      </w:r>
      <w:r>
        <w:rPr>
          <w:rFonts w:hint="eastAsia" w:ascii="仿宋" w:hAnsi="仿宋" w:eastAsia="仿宋" w:cs="仿宋"/>
          <w:sz w:val="28"/>
          <w:szCs w:val="28"/>
          <w:highlight w:val="none"/>
          <w:lang w:val="en-US" w:eastAsia="zh-CN"/>
        </w:rPr>
        <w:t>双</w:t>
      </w:r>
      <w:r>
        <w:rPr>
          <w:rFonts w:hint="eastAsia" w:ascii="仿宋" w:hAnsi="仿宋" w:eastAsia="仿宋" w:cs="仿宋"/>
          <w:sz w:val="28"/>
          <w:szCs w:val="28"/>
          <w:highlight w:val="none"/>
        </w:rPr>
        <w:t>旁路功能，</w:t>
      </w:r>
      <w:r>
        <w:rPr>
          <w:rFonts w:hint="eastAsia" w:ascii="仿宋" w:hAnsi="仿宋" w:eastAsia="仿宋" w:cs="仿宋"/>
          <w:sz w:val="28"/>
          <w:szCs w:val="28"/>
          <w:highlight w:val="none"/>
          <w:lang w:val="en-US" w:eastAsia="zh-CN"/>
        </w:rPr>
        <w:t>必须同时具备模块旁路与机械旁路，投标方应在应答文件中详细描述两种旁路方式执行的条件以及区别，</w:t>
      </w:r>
      <w:r>
        <w:rPr>
          <w:rFonts w:hint="eastAsia" w:ascii="仿宋" w:hAnsi="仿宋" w:eastAsia="仿宋" w:cs="仿宋"/>
          <w:sz w:val="28"/>
          <w:szCs w:val="28"/>
          <w:highlight w:val="none"/>
        </w:rPr>
        <w:t>单个功率单元故障不应出现导致设备直接停机退出运行的情况。</w:t>
      </w:r>
      <w:r>
        <w:rPr>
          <w:rFonts w:hint="eastAsia" w:ascii="仿宋" w:hAnsi="仿宋" w:eastAsia="仿宋" w:cs="仿宋"/>
          <w:sz w:val="28"/>
          <w:szCs w:val="28"/>
          <w:highlight w:val="none"/>
          <w:lang w:val="en-US" w:eastAsia="zh-CN"/>
        </w:rPr>
        <w:t>投标应详细描述投标产品单元旁路功能的模式以及实现方式。</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3.33为保证操作的便捷性与可靠性，操作界面需要采用全彩色智能屏，屏幕尺寸</w:t>
      </w:r>
      <w:r>
        <w:rPr>
          <w:rFonts w:hint="eastAsia" w:ascii="仿宋" w:hAnsi="仿宋" w:eastAsia="仿宋" w:cs="仿宋"/>
          <w:sz w:val="28"/>
          <w:szCs w:val="28"/>
          <w:highlight w:val="none"/>
          <w:lang w:val="en-US" w:eastAsia="zh-CN"/>
        </w:rPr>
        <w:t>宜</w:t>
      </w:r>
      <w:r>
        <w:rPr>
          <w:rFonts w:hint="eastAsia" w:ascii="仿宋" w:hAnsi="仿宋" w:eastAsia="仿宋" w:cs="仿宋"/>
          <w:sz w:val="28"/>
          <w:szCs w:val="28"/>
          <w:highlight w:val="none"/>
        </w:rPr>
        <w:t>≥7寸，主页面应能显示给定频率、运行频率、输入电流、输入电压、输出电流、输出电压、输入功率、输出功率以及当前控制方式。</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3.34</w:t>
      </w:r>
      <w:r>
        <w:rPr>
          <w:rFonts w:hint="eastAsia" w:ascii="仿宋" w:hAnsi="仿宋" w:eastAsia="仿宋" w:cs="仿宋"/>
          <w:sz w:val="28"/>
          <w:szCs w:val="28"/>
          <w:highlight w:val="none"/>
          <w:lang w:val="en-US" w:eastAsia="zh-CN"/>
        </w:rPr>
        <w:t xml:space="preserve"> </w:t>
      </w:r>
      <w:r>
        <w:rPr>
          <w:rFonts w:hint="eastAsia" w:ascii="仿宋" w:hAnsi="仿宋" w:eastAsia="仿宋" w:cs="仿宋"/>
          <w:sz w:val="28"/>
          <w:szCs w:val="28"/>
          <w:highlight w:val="none"/>
        </w:rPr>
        <w:t>为保证设备操作性，控制柜装有远程/就地的转换开关，可进行远程、就地的控制切换。在就地监控方式下可通过人机界面进行变频器的启动、停止，转速、频率的调整，功能设定、参数设定等，界面语言都采用中文。</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35</w:t>
      </w:r>
      <w:r>
        <w:rPr>
          <w:rFonts w:hint="eastAsia" w:ascii="仿宋" w:hAnsi="仿宋" w:eastAsia="仿宋" w:cs="仿宋"/>
          <w:sz w:val="28"/>
          <w:szCs w:val="28"/>
          <w:highlight w:val="none"/>
        </w:rPr>
        <w:t>变频装置的功率单元为更改后功率单元为单体化、模块化设计，方便从机架上抽出、移动和变换，应能布置于原柜体内部，所有单元可以互换。</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3.36</w:t>
      </w:r>
      <w:r>
        <w:rPr>
          <w:rFonts w:hint="eastAsia" w:ascii="仿宋" w:hAnsi="仿宋" w:eastAsia="仿宋" w:cs="仿宋"/>
          <w:sz w:val="28"/>
          <w:szCs w:val="28"/>
          <w:highlight w:val="none"/>
        </w:rPr>
        <w:t>为了避免控制掉电对功率单元的影响，功率单元控制板件电源由直流母排供电</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不允许有外部单独供电方式</w:t>
      </w:r>
      <w:r>
        <w:rPr>
          <w:rFonts w:hint="eastAsia" w:ascii="仿宋" w:hAnsi="仿宋" w:eastAsia="仿宋" w:cs="仿宋"/>
          <w:sz w:val="28"/>
          <w:szCs w:val="28"/>
          <w:highlight w:val="none"/>
        </w:rPr>
        <w:t>。</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w:t>
      </w:r>
      <w:r>
        <w:rPr>
          <w:rFonts w:hint="eastAsia" w:ascii="仿宋" w:hAnsi="仿宋" w:eastAsia="仿宋" w:cs="仿宋"/>
          <w:sz w:val="28"/>
          <w:szCs w:val="28"/>
          <w:highlight w:val="none"/>
          <w:lang w:val="en-US" w:eastAsia="zh-CN"/>
        </w:rPr>
        <w:t>37</w:t>
      </w:r>
      <w:r>
        <w:rPr>
          <w:rFonts w:hint="eastAsia" w:ascii="仿宋" w:hAnsi="仿宋" w:eastAsia="仿宋" w:cs="仿宋"/>
          <w:sz w:val="28"/>
          <w:szCs w:val="28"/>
          <w:highlight w:val="none"/>
        </w:rPr>
        <w:t>为保证变频器的可靠性，每个功率单元在厂需要带载老化测试，测试功率单元欠压、缺相、过压，过压失速、过热、模块故障等保护功能</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出厂试验均需进行“满电压”、“满电流”、“满功率”三者同时满足的模拟负载测试，所有功率单元均120%满载老化测试</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并提供测试报告。</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3.38</w:t>
      </w:r>
      <w:r>
        <w:rPr>
          <w:rFonts w:hint="eastAsia" w:ascii="仿宋" w:hAnsi="仿宋" w:eastAsia="仿宋" w:cs="仿宋"/>
          <w:sz w:val="28"/>
          <w:szCs w:val="28"/>
          <w:highlight w:val="none"/>
        </w:rPr>
        <w:t>功率单元控制板应设计单独的金属屏蔽盒,</w:t>
      </w:r>
      <w:r>
        <w:rPr>
          <w:rFonts w:hint="eastAsia" w:ascii="仿宋" w:hAnsi="仿宋" w:eastAsia="仿宋" w:cs="仿宋"/>
          <w:sz w:val="28"/>
          <w:szCs w:val="28"/>
          <w:highlight w:val="none"/>
          <w:lang w:val="en-US" w:eastAsia="zh-CN"/>
        </w:rPr>
        <w:t>同时功率单元壳体采用高压专用覆铝锌板。</w:t>
      </w:r>
      <w:r>
        <w:rPr>
          <w:rFonts w:hint="eastAsia" w:ascii="仿宋" w:hAnsi="仿宋" w:eastAsia="仿宋" w:cs="仿宋"/>
          <w:sz w:val="28"/>
          <w:szCs w:val="28"/>
          <w:highlight w:val="none"/>
        </w:rPr>
        <w:t>防止变频器在运行过程中受到强电磁干扰。同时为了增强单元输出与单元输入之间的隔离，提高系统安全性，功率单元输入和输出需要上下设计，不能采用输出包络输入的方式。请详细说明方案并证明。</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32" w:name="_Toc17467750"/>
      <w:r>
        <w:rPr>
          <w:rFonts w:hint="eastAsia" w:ascii="仿宋" w:hAnsi="仿宋" w:eastAsia="仿宋" w:cs="仿宋"/>
          <w:sz w:val="28"/>
          <w:szCs w:val="28"/>
          <w:highlight w:val="none"/>
        </w:rPr>
        <w:t>4 供货范围</w:t>
      </w:r>
      <w:bookmarkEnd w:id="32"/>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4.1 供货范围</w:t>
      </w:r>
    </w:p>
    <w:tbl>
      <w:tblPr>
        <w:tblStyle w:val="3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65"/>
        <w:gridCol w:w="1500"/>
        <w:gridCol w:w="840"/>
        <w:gridCol w:w="76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9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名称</w:t>
            </w:r>
          </w:p>
        </w:tc>
        <w:tc>
          <w:tcPr>
            <w:tcW w:w="15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规格型号</w:t>
            </w:r>
          </w:p>
        </w:tc>
        <w:tc>
          <w:tcPr>
            <w:tcW w:w="84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数量</w:t>
            </w:r>
          </w:p>
        </w:tc>
        <w:tc>
          <w:tcPr>
            <w:tcW w:w="7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单位</w:t>
            </w:r>
          </w:p>
        </w:tc>
        <w:tc>
          <w:tcPr>
            <w:tcW w:w="2752"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9" w:hRule="atLeast"/>
        </w:trPr>
        <w:tc>
          <w:tcPr>
            <w:tcW w:w="7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9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引风机高压变频器功率单元</w:t>
            </w:r>
          </w:p>
        </w:tc>
        <w:tc>
          <w:tcPr>
            <w:tcW w:w="15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690V/250A</w:t>
            </w:r>
          </w:p>
        </w:tc>
        <w:tc>
          <w:tcPr>
            <w:tcW w:w="84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15</w:t>
            </w:r>
          </w:p>
        </w:tc>
        <w:tc>
          <w:tcPr>
            <w:tcW w:w="7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个</w:t>
            </w:r>
          </w:p>
        </w:tc>
        <w:tc>
          <w:tcPr>
            <w:tcW w:w="2752"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含配套控制系统、接线、调试（用于6kV/1800kW电机）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9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一次风机高压变频器功率单元</w:t>
            </w:r>
          </w:p>
        </w:tc>
        <w:tc>
          <w:tcPr>
            <w:tcW w:w="15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690V/192A</w:t>
            </w:r>
          </w:p>
        </w:tc>
        <w:tc>
          <w:tcPr>
            <w:tcW w:w="84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15</w:t>
            </w:r>
          </w:p>
        </w:tc>
        <w:tc>
          <w:tcPr>
            <w:tcW w:w="7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个</w:t>
            </w:r>
          </w:p>
        </w:tc>
        <w:tc>
          <w:tcPr>
            <w:tcW w:w="2752"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含配套控制系统、接线、调试（用于6kV/1250kW电机）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9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二次风机高压变频器功率单元</w:t>
            </w:r>
          </w:p>
        </w:tc>
        <w:tc>
          <w:tcPr>
            <w:tcW w:w="15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690V/096A</w:t>
            </w:r>
          </w:p>
        </w:tc>
        <w:tc>
          <w:tcPr>
            <w:tcW w:w="84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15</w:t>
            </w:r>
          </w:p>
        </w:tc>
        <w:tc>
          <w:tcPr>
            <w:tcW w:w="7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个</w:t>
            </w:r>
          </w:p>
        </w:tc>
        <w:tc>
          <w:tcPr>
            <w:tcW w:w="2752"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含配套控制系统、接线、调试（用于6kV/710kW电机）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w:t>
            </w:r>
          </w:p>
        </w:tc>
        <w:tc>
          <w:tcPr>
            <w:tcW w:w="19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#14#15给水泵高压变频器功率单元</w:t>
            </w:r>
          </w:p>
        </w:tc>
        <w:tc>
          <w:tcPr>
            <w:tcW w:w="150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690V/192A</w:t>
            </w:r>
          </w:p>
        </w:tc>
        <w:tc>
          <w:tcPr>
            <w:tcW w:w="840"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30</w:t>
            </w:r>
          </w:p>
        </w:tc>
        <w:tc>
          <w:tcPr>
            <w:tcW w:w="765"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个</w:t>
            </w:r>
          </w:p>
        </w:tc>
        <w:tc>
          <w:tcPr>
            <w:tcW w:w="2752" w:type="dxa"/>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含配套控制系统、接线、调试（用于6kV/1600kW电机）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5</w:t>
            </w:r>
          </w:p>
        </w:tc>
        <w:tc>
          <w:tcPr>
            <w:tcW w:w="19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备用模块</w:t>
            </w:r>
          </w:p>
        </w:tc>
        <w:tc>
          <w:tcPr>
            <w:tcW w:w="15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690V/250A/192A/096A</w:t>
            </w:r>
          </w:p>
        </w:tc>
        <w:tc>
          <w:tcPr>
            <w:tcW w:w="84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5</w:t>
            </w:r>
          </w:p>
        </w:tc>
        <w:tc>
          <w:tcPr>
            <w:tcW w:w="7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个</w:t>
            </w:r>
          </w:p>
        </w:tc>
        <w:tc>
          <w:tcPr>
            <w:tcW w:w="2752"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每台变频器提供1个备用功率单元</w:t>
            </w:r>
          </w:p>
        </w:tc>
      </w:tr>
    </w:tbl>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4.2 本部分规定了合同设备的供货范围，</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方保证提供本次改造的元器件为全新的、先进的、成熟的、完整的和安全可靠的，且设备的技术经济性能符合要求。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4.3 </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方提供详细供货清单，清单中依次说明型号、数量、产地、生产厂家等内容。对于属于整套设备运行和施工所必需的部件，即使本合同附件未列出和/或数目不足，</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方仍在执行的同时免费补足。</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4.4设备出厂前须进行校验，达到设备所规定的性能指标。</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4.5</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方应提供详细的供货清单，及</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方与设备原厂家的供货合同。清单中依次说明型号、数量、产地、生产厂家、合格证书、校验报告等内容。</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33" w:name="_Toc17467751"/>
      <w:r>
        <w:rPr>
          <w:rFonts w:hint="eastAsia" w:ascii="仿宋" w:hAnsi="仿宋" w:eastAsia="仿宋" w:cs="仿宋"/>
          <w:sz w:val="28"/>
          <w:szCs w:val="28"/>
          <w:highlight w:val="none"/>
        </w:rPr>
        <w:t>5 技术服务</w:t>
      </w:r>
      <w:bookmarkEnd w:id="33"/>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 技术服务</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5.1.1为使该项目正常投运，</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方要派合格的现场服务人员。如果此现场服务的人员与日数不能满足工程需要，</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方有权要求</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方增加现场服务人日数，费用由</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方承担。</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5.1.2 现场服务人员的条件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1）遵守法纪，遵守现场的各项规章和制度，熟悉并掌握现场和电厂有关方面的规章制度；</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2）了解服务内容，能够正确地进行现场指导；</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3）身体健康，适应现场工作的条件。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5.1.3 </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方服务人员的一切费用已包含在合同总价中，它包括诸如服务人员的工资及各种补助、交通费、通讯费、食宿费、医疗费、各种保险费、各种税费，等等。</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5.1.4 现场服务人员的工作时间应与现场要求相一致，以满足现场安装、调试和试运行的要求。</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方不再因</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方现场服务人员的加班和节假日而另付费用。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5.1.5在安装和调试前，</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方现场负责人应向</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方进行技术交底，签订安全培训告知卡。对重要工序，</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方负责人要对施工情况进行确认，否则</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方不能进行下一道工序。经</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方确认的工序如因</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方指导错误而出现质量问题，</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方应负全部责任。现场施工过程中，</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方服务人员不听从</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方安排施工而造成的人身伤害及设备损坏，均由</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方自行承担一切责任。</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5.1.6  </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方现场服务人员应有权处理现场出现的一切技术和商务问题。如现场发生质量问题，</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方现场人员要在</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方规定的时间内处理解决。</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5.1.7培训</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5.1.7.1 为使合同设备能正常安装、调试、运行、维护及检修，</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方有责任提供相应的技术培训。培训内容和时间应与工程进度相一致。</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5.7.1.2 培训计划和内容列出如下：</w:t>
      </w:r>
    </w:p>
    <w:tbl>
      <w:tblPr>
        <w:tblStyle w:val="32"/>
        <w:tblW w:w="8540"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7"/>
        <w:gridCol w:w="2427"/>
        <w:gridCol w:w="1120"/>
        <w:gridCol w:w="1640"/>
        <w:gridCol w:w="813"/>
        <w:gridCol w:w="810"/>
        <w:gridCol w:w="101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jc w:val="center"/>
        </w:trPr>
        <w:tc>
          <w:tcPr>
            <w:tcW w:w="717" w:type="dxa"/>
            <w:vMerge w:val="restart"/>
            <w:tcBorders>
              <w:top w:val="single" w:color="auto" w:sz="6" w:space="0"/>
              <w:left w:val="single" w:color="auto" w:sz="6" w:space="0"/>
              <w:bottom w:val="nil"/>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2427" w:type="dxa"/>
            <w:vMerge w:val="restart"/>
            <w:tcBorders>
              <w:top w:val="single" w:color="auto" w:sz="6" w:space="0"/>
              <w:left w:val="single" w:color="auto" w:sz="6" w:space="0"/>
              <w:bottom w:val="nil"/>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培训内容</w:t>
            </w:r>
          </w:p>
        </w:tc>
        <w:tc>
          <w:tcPr>
            <w:tcW w:w="1120" w:type="dxa"/>
            <w:vMerge w:val="restart"/>
            <w:tcBorders>
              <w:top w:val="single" w:color="auto" w:sz="6" w:space="0"/>
              <w:left w:val="single" w:color="auto" w:sz="6" w:space="0"/>
              <w:bottom w:val="nil"/>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计划人天数</w:t>
            </w:r>
          </w:p>
        </w:tc>
        <w:tc>
          <w:tcPr>
            <w:tcW w:w="2453" w:type="dxa"/>
            <w:gridSpan w:val="2"/>
            <w:tcBorders>
              <w:top w:val="single" w:color="auto" w:sz="6" w:space="0"/>
              <w:left w:val="nil"/>
              <w:bottom w:val="single" w:color="auto" w:sz="6" w:space="0"/>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培训教师构成</w:t>
            </w:r>
          </w:p>
        </w:tc>
        <w:tc>
          <w:tcPr>
            <w:tcW w:w="810" w:type="dxa"/>
            <w:vMerge w:val="restart"/>
            <w:tcBorders>
              <w:top w:val="single" w:color="auto" w:sz="6" w:space="0"/>
              <w:left w:val="single" w:color="auto" w:sz="6" w:space="0"/>
              <w:bottom w:val="nil"/>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地点</w:t>
            </w:r>
          </w:p>
        </w:tc>
        <w:tc>
          <w:tcPr>
            <w:tcW w:w="1013" w:type="dxa"/>
            <w:vMerge w:val="restart"/>
            <w:tcBorders>
              <w:top w:val="single" w:color="auto" w:sz="6" w:space="0"/>
              <w:left w:val="single" w:color="auto" w:sz="6" w:space="0"/>
              <w:bottom w:val="nil"/>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jc w:val="center"/>
        </w:trPr>
        <w:tc>
          <w:tcPr>
            <w:tcW w:w="717" w:type="dxa"/>
            <w:vMerge w:val="continue"/>
            <w:tcBorders>
              <w:top w:val="nil"/>
              <w:left w:val="single" w:color="auto" w:sz="6" w:space="0"/>
              <w:bottom w:val="single" w:color="auto" w:sz="6" w:space="0"/>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2427" w:type="dxa"/>
            <w:vMerge w:val="continue"/>
            <w:tcBorders>
              <w:top w:val="nil"/>
              <w:left w:val="single" w:color="auto" w:sz="6" w:space="0"/>
              <w:bottom w:val="single" w:color="auto" w:sz="6" w:space="0"/>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1120" w:type="dxa"/>
            <w:vMerge w:val="continue"/>
            <w:tcBorders>
              <w:top w:val="nil"/>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1640" w:type="dxa"/>
            <w:tcBorders>
              <w:top w:val="nil"/>
              <w:lef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职称</w:t>
            </w:r>
          </w:p>
        </w:tc>
        <w:tc>
          <w:tcPr>
            <w:tcW w:w="813" w:type="dxa"/>
            <w:tcBorders>
              <w:top w:val="nil"/>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人数</w:t>
            </w:r>
          </w:p>
        </w:tc>
        <w:tc>
          <w:tcPr>
            <w:tcW w:w="810" w:type="dxa"/>
            <w:vMerge w:val="continue"/>
            <w:tcBorders>
              <w:top w:val="nil"/>
              <w:left w:val="single" w:color="auto" w:sz="6" w:space="0"/>
              <w:bottom w:val="single" w:color="auto" w:sz="6" w:space="0"/>
              <w:right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1013" w:type="dxa"/>
            <w:vMerge w:val="continue"/>
            <w:tcBorders>
              <w:top w:val="nil"/>
              <w:left w:val="single" w:color="auto" w:sz="6" w:space="0"/>
              <w:bottom w:val="single" w:color="auto" w:sz="6" w:space="0"/>
              <w:right w:val="single" w:color="auto" w:sz="6" w:space="0"/>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2427"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变频器原理和构成</w:t>
            </w:r>
          </w:p>
        </w:tc>
        <w:tc>
          <w:tcPr>
            <w:tcW w:w="1120"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高级工程师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2427"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使用手册讲解</w:t>
            </w:r>
          </w:p>
        </w:tc>
        <w:tc>
          <w:tcPr>
            <w:tcW w:w="1120"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Borders>
              <w:top w:val="nil"/>
            </w:tcBorders>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tcBorders>
              <w:top w:val="nil"/>
            </w:tcBorders>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242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设备维护讲解</w:t>
            </w:r>
          </w:p>
        </w:tc>
        <w:tc>
          <w:tcPr>
            <w:tcW w:w="112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242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现场设备讲解认识</w:t>
            </w:r>
          </w:p>
        </w:tc>
        <w:tc>
          <w:tcPr>
            <w:tcW w:w="112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242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现场操作演示</w:t>
            </w:r>
          </w:p>
        </w:tc>
        <w:tc>
          <w:tcPr>
            <w:tcW w:w="112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高级工程师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6</w:t>
            </w:r>
          </w:p>
        </w:tc>
        <w:tc>
          <w:tcPr>
            <w:tcW w:w="2427"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指导用户操作</w:t>
            </w:r>
          </w:p>
        </w:tc>
        <w:tc>
          <w:tcPr>
            <w:tcW w:w="112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待定</w:t>
            </w:r>
          </w:p>
        </w:tc>
        <w:tc>
          <w:tcPr>
            <w:tcW w:w="164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工程师</w:t>
            </w:r>
          </w:p>
        </w:tc>
        <w:tc>
          <w:tcPr>
            <w:tcW w:w="8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810" w:type="dxa"/>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电厂</w:t>
            </w:r>
          </w:p>
        </w:tc>
        <w:tc>
          <w:tcPr>
            <w:tcW w:w="1013"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r>
    </w:tbl>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5.7.1.3 培训的时间、地点由双方商定。</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34" w:name="_Toc46841972"/>
      <w:bookmarkStart w:id="35" w:name="_Toc47278347"/>
      <w:bookmarkStart w:id="36" w:name="_Toc349603398"/>
      <w:bookmarkStart w:id="37" w:name="_Toc58641243"/>
      <w:r>
        <w:rPr>
          <w:rFonts w:hint="eastAsia" w:ascii="仿宋" w:hAnsi="仿宋" w:eastAsia="仿宋" w:cs="仿宋"/>
          <w:sz w:val="28"/>
          <w:szCs w:val="28"/>
          <w:highlight w:val="none"/>
        </w:rPr>
        <w:t>5.2 系统验收</w:t>
      </w:r>
      <w:bookmarkEnd w:id="34"/>
      <w:bookmarkEnd w:id="35"/>
      <w:bookmarkEnd w:id="36"/>
      <w:bookmarkEnd w:id="37"/>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系统验收由双方共同参加，系统软硬件运行正常，文档资料齐全，培训工作完成。</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方现场出工作记录单，结论双方均应承认。如双方对试验的结果有不一致意见，双方协商解决。如仍不能达成一致，则提交双方上级部门协商。</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5.3后期服务要求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5.5.1技术支持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质保期满后，在产品的有效使用期内，每2个月电话回访一次，根据检查结果向</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方提出维修建议。</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方应设有售后服务机构，能够在货物提供后，直接向</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方提供技术支持。当设备出现故障时，电话</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小时响应，48小时内到达</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方现场。</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5.5.2备件支持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方保证长期优惠提供所有备品配件，应答时提供变频器所有备品备件及材料费用清单。</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5.5.3维修支持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质保期满后变频器故障时，</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方负责修理和更换，备品备件及材料费不能高于应答时所报的价格，人员收取交通及人工成本费用。软件免费负责升级。</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38" w:name="_Toc17467752"/>
      <w:r>
        <w:rPr>
          <w:rFonts w:hint="eastAsia" w:ascii="仿宋" w:hAnsi="仿宋" w:eastAsia="仿宋" w:cs="仿宋"/>
          <w:sz w:val="28"/>
          <w:szCs w:val="28"/>
          <w:highlight w:val="none"/>
        </w:rPr>
        <w:t>6 技术文件</w:t>
      </w:r>
      <w:bookmarkEnd w:id="38"/>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要求提供以下技术资料：</w:t>
      </w:r>
    </w:p>
    <w:p>
      <w:pPr>
        <w:spacing w:line="240" w:lineRule="auto"/>
        <w:ind w:firstLine="560"/>
        <w:rPr>
          <w:rFonts w:hint="eastAsia" w:ascii="仿宋" w:hAnsi="仿宋" w:eastAsia="仿宋" w:cs="仿宋"/>
          <w:sz w:val="28"/>
          <w:szCs w:val="28"/>
          <w:highlight w:val="none"/>
        </w:rPr>
      </w:pPr>
      <w:bookmarkStart w:id="39" w:name="_Toc380910552"/>
      <w:r>
        <w:rPr>
          <w:rFonts w:hint="eastAsia" w:ascii="仿宋" w:hAnsi="仿宋" w:eastAsia="仿宋" w:cs="仿宋"/>
          <w:sz w:val="28"/>
          <w:szCs w:val="28"/>
          <w:highlight w:val="none"/>
        </w:rPr>
        <w:t xml:space="preserve">6.1 </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方提供的资料应使用国家法定单位制即国际单位制，语言为中文。</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6.2 资料的组织结构清晰、逻辑性强。资料内容要正确、准确、一致、清晰完整，满足项目要求。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6.3 对于其它没有列入合同技术资料清单，却是工程所必需的文件和资料，一经发现，</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方也应及时免费提供。</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6.4 </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方要及时提供与合同设备设计制造有关的资料。</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方应提供适用于本工程实际情况且为本工程专用的技术资料。</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方应向</w:t>
      </w:r>
      <w:r>
        <w:rPr>
          <w:rFonts w:hint="eastAsia" w:ascii="仿宋" w:hAnsi="仿宋" w:eastAsia="仿宋" w:cs="仿宋"/>
          <w:sz w:val="28"/>
          <w:szCs w:val="28"/>
          <w:highlight w:val="none"/>
          <w:lang w:val="en-US" w:eastAsia="zh-CN"/>
        </w:rPr>
        <w:t>招标</w:t>
      </w:r>
      <w:r>
        <w:rPr>
          <w:rFonts w:hint="eastAsia" w:ascii="仿宋" w:hAnsi="仿宋" w:eastAsia="仿宋" w:cs="仿宋"/>
          <w:sz w:val="28"/>
          <w:szCs w:val="28"/>
          <w:highlight w:val="none"/>
        </w:rPr>
        <w:t>方提供6套技术图纸资料，同时提供电子版技术图纸资料。</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方所提供的电子版图纸资料格式为：图纸资料为AutoCADR2004、文本资料为WORD。</w:t>
      </w:r>
    </w:p>
    <w:p>
      <w:pPr>
        <w:spacing w:line="240" w:lineRule="auto"/>
        <w:ind w:firstLine="560"/>
        <w:rPr>
          <w:rFonts w:hint="eastAsia" w:ascii="仿宋" w:hAnsi="仿宋" w:eastAsia="仿宋" w:cs="仿宋"/>
          <w:sz w:val="28"/>
          <w:szCs w:val="28"/>
          <w:highlight w:val="none"/>
        </w:rPr>
      </w:pPr>
      <w:bookmarkStart w:id="40" w:name="_Toc184535199"/>
      <w:r>
        <w:rPr>
          <w:rFonts w:hint="eastAsia" w:ascii="仿宋" w:hAnsi="仿宋" w:eastAsia="仿宋" w:cs="仿宋"/>
          <w:sz w:val="28"/>
          <w:szCs w:val="28"/>
          <w:highlight w:val="none"/>
        </w:rPr>
        <w:t>6.5</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方必须提供必要的图纸和资料</w:t>
      </w:r>
      <w:bookmarkEnd w:id="40"/>
      <w:r>
        <w:rPr>
          <w:rFonts w:hint="eastAsia" w:ascii="仿宋" w:hAnsi="仿宋" w:eastAsia="仿宋" w:cs="仿宋"/>
          <w:sz w:val="28"/>
          <w:szCs w:val="28"/>
          <w:highlight w:val="none"/>
        </w:rPr>
        <w:t>，其中必须包括下列图纸：（</w:t>
      </w:r>
      <w:r>
        <w:rPr>
          <w:rFonts w:hint="eastAsia" w:ascii="仿宋" w:hAnsi="仿宋" w:eastAsia="仿宋" w:cs="仿宋"/>
          <w:sz w:val="28"/>
          <w:szCs w:val="28"/>
          <w:highlight w:val="none"/>
          <w:lang w:val="en-US" w:eastAsia="zh-CN"/>
        </w:rPr>
        <w:t>投标</w:t>
      </w:r>
      <w:r>
        <w:rPr>
          <w:rFonts w:hint="eastAsia" w:ascii="仿宋" w:hAnsi="仿宋" w:eastAsia="仿宋" w:cs="仿宋"/>
          <w:sz w:val="28"/>
          <w:szCs w:val="28"/>
          <w:highlight w:val="none"/>
        </w:rPr>
        <w:t xml:space="preserve">方应补充和细化所列技术资料以满足本项目要求） </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质量文件；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变频器技术说明书；</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变频器使用说明书；</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检测和试验报告；</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变频装置控制回路原理接线图及设备表；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变频器最终参数设置表；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其它必须的资料。</w:t>
      </w:r>
    </w:p>
    <w:bookmarkEnd w:id="39"/>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41" w:name="_Toc17467753"/>
      <w:r>
        <w:rPr>
          <w:rFonts w:hint="eastAsia" w:ascii="仿宋" w:hAnsi="仿宋" w:eastAsia="仿宋" w:cs="仿宋"/>
          <w:sz w:val="28"/>
          <w:szCs w:val="28"/>
          <w:highlight w:val="none"/>
        </w:rPr>
        <w:t>7 其他</w:t>
      </w:r>
      <w:bookmarkEnd w:id="41"/>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7.1本技术要求并未对一切技术细节作出规定，应保证提供符合最新行业标准的优质产品。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7.2本技术要求将作为合同附件，与合同正文具有同等效力。</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8质保期：</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设备投运后2年。</w:t>
      </w:r>
    </w:p>
    <w:p>
      <w:pPr>
        <w:keepNext w:val="0"/>
        <w:keepLines w:val="0"/>
        <w:pageBreakBefore/>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pacing w:val="-3"/>
          <w:sz w:val="32"/>
          <w:szCs w:val="32"/>
          <w:highlight w:val="none"/>
        </w:rPr>
      </w:pPr>
      <w:r>
        <w:rPr>
          <w:rFonts w:hint="eastAsia" w:ascii="宋体" w:hAnsi="宋体" w:eastAsia="宋体" w:cs="宋体"/>
          <w:b/>
          <w:spacing w:val="-3"/>
          <w:sz w:val="32"/>
          <w:szCs w:val="32"/>
          <w:highlight w:val="none"/>
        </w:rPr>
        <w:t>威海博通热电股份有限公司</w:t>
      </w:r>
      <w:bookmarkStart w:id="42" w:name="OLE_LINK1"/>
      <w:bookmarkStart w:id="43" w:name="OLE_LINK2"/>
      <w:r>
        <w:rPr>
          <w:rFonts w:hint="eastAsia" w:ascii="宋体" w:hAnsi="宋体" w:eastAsia="宋体" w:cs="宋体"/>
          <w:b/>
          <w:spacing w:val="-3"/>
          <w:sz w:val="32"/>
          <w:szCs w:val="32"/>
          <w:highlight w:val="none"/>
        </w:rPr>
        <w:t>#6炉风机</w:t>
      </w:r>
      <w:bookmarkEnd w:id="42"/>
      <w:bookmarkEnd w:id="43"/>
      <w:r>
        <w:rPr>
          <w:rFonts w:hint="eastAsia" w:ascii="宋体" w:hAnsi="宋体" w:eastAsia="宋体" w:cs="宋体"/>
          <w:b/>
          <w:spacing w:val="-3"/>
          <w:sz w:val="32"/>
          <w:szCs w:val="32"/>
          <w:highlight w:val="none"/>
        </w:rPr>
        <w:t>变频器升级改造</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pacing w:val="-3"/>
          <w:sz w:val="32"/>
          <w:szCs w:val="32"/>
          <w:highlight w:val="none"/>
        </w:rPr>
      </w:pPr>
      <w:r>
        <w:rPr>
          <w:rFonts w:hint="eastAsia" w:ascii="宋体" w:hAnsi="宋体" w:eastAsia="宋体" w:cs="宋体"/>
          <w:b/>
          <w:spacing w:val="-3"/>
          <w:sz w:val="32"/>
          <w:szCs w:val="32"/>
          <w:highlight w:val="none"/>
        </w:rPr>
        <w:t>技术规范书</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44" w:name="_Toc27628"/>
      <w:r>
        <w:rPr>
          <w:rFonts w:hint="eastAsia" w:ascii="仿宋" w:hAnsi="仿宋" w:eastAsia="仿宋" w:cs="仿宋"/>
          <w:sz w:val="28"/>
          <w:szCs w:val="28"/>
          <w:highlight w:val="none"/>
          <w:lang w:val="en-US" w:eastAsia="zh-CN"/>
        </w:rPr>
        <w:t>1、总则</w:t>
      </w:r>
      <w:bookmarkEnd w:id="44"/>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1.1  本技术规范书适用于威海博通热电股份有限公司（以下简称博通公司）#6炉引风机、一、二次风机高压变频器升级改造的技术要求。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1.2本设备技术规范书提出的是最低限度的技术要求，并未对一切技术细节作出规定，也未充分引述有关标准和规范的条文。投标方保证提供符合国家有关安全、环保等强制规范要求和现行中国通用标准（若无相关的国内、国际标准，则满足引进国或所在国国家或国外生产企业的标准）的优质产品。</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1.3 投标方应以书面形式对本规范书的条款逐条做出详细应答，确认对本规范书要求的满足和差异，对偏差部分应列出偏差表作详细描述。</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1.4 本技术规范书所使用的标准如与投标方所执行的标准有偏差时，按高标准执行。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1.5 本技术规范书经招标、投标双方确认后作为订货合同的技术附件，与合同正文具有同等的法律效力。</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1.6 本技术规范书未尽事宜，由招标、投标双方协商确定。</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1.7 标准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本规范书提出了最低限度的技术要求，并未规定所有的技术要求和适用的标准，对国家有关的强制性标准，必须满足其要求。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DLT1648-2016     发电厂及变电站辅机变频器高低电压穿越技术规范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GB/T14549-1993   电能质量：公用电网谐波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DL/T539-93       户内交流高压开关柜和元件凝露及污秽试验技术条件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GB13471-2008     节电技术经济效益计算与评价评价</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 12668-90      交流电动机半导体变频调速装置总技术条件</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DL/T1111-2009    火力发电厂厂用高压电动机调速节能导则</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DL/T994-2006     火力发电厂风机水泵用高压变频器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5136        火力发电厂、变电所二次接线设计技术规定</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596-2005    电气设备预防性试验规程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DL/T1054-2007    高压电气设备绝缘技术监督规程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 50171-2012   电气装置安装工程盘柜及二次回路结线施工及验收规范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GB50150-2006     电气装置安装工程电气设备交接试验标准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GB50169-2006     电气装置安装工程接地装置施工及验收规范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GB50170-2006     电气装置安装工程旋转电机施工及验收规范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GB/T 14285-2006  继电保护和安全自动装置技术规程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GB50147-2010     电气装置安装工程高压电器施工及验收规范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DL/T 5161-2002   电气装置安装工程质量检验及评定规程</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 50254-96      电气装置安装工程低压电器施工及验收规范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DL 5009.1-2002   电力建设安全工作规程（火力发电厂部分）</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GB50303          建筑电气工程施工质量验收规范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GB 12668         </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172.17.16.12:809/page/tbsbrowser.cbs?urlname=tbss%3A%2F%2F2Ui9i38FjdSuiJVeUXaU%2FHzW%2FN%2DWo7PK2bk%2DPPFtT4HgSjHpDU0E0rQmCkLiPwADu0PodmtMzrADzrgk1GG6%2FaB%2DjY5nNZxseenSOxkiROIXUsunXwqNQet3RUAuOHQFBj4GNyQWxLEStLhB0TgebeYsmsj5PZM5FcjTCEOLeqBWp%2D11EieotWyRbut2H6CXjH4z8Dn7d4aiGX%2DP82PF1zzIVvvqcOKInzl7YUcRgApjASVnvsYvxP4cFRVKQvm4jjjZybEdHsg" \t "_blank" </w:instrText>
      </w:r>
      <w:r>
        <w:rPr>
          <w:rFonts w:hint="eastAsia" w:ascii="仿宋" w:hAnsi="仿宋" w:eastAsia="仿宋" w:cs="仿宋"/>
          <w:sz w:val="28"/>
          <w:szCs w:val="28"/>
          <w:highlight w:val="none"/>
        </w:rPr>
        <w:fldChar w:fldCharType="separate"/>
      </w:r>
      <w:r>
        <w:rPr>
          <w:rFonts w:hint="eastAsia" w:ascii="仿宋" w:hAnsi="仿宋" w:eastAsia="仿宋" w:cs="仿宋"/>
          <w:sz w:val="28"/>
          <w:szCs w:val="28"/>
          <w:highlight w:val="none"/>
        </w:rPr>
        <w:t>调速电气传动系统</w:t>
      </w:r>
      <w:r>
        <w:rPr>
          <w:rFonts w:hint="eastAsia" w:ascii="仿宋" w:hAnsi="仿宋" w:eastAsia="仿宋" w:cs="仿宋"/>
          <w:sz w:val="28"/>
          <w:szCs w:val="28"/>
          <w:highlight w:val="none"/>
        </w:rPr>
        <w:fldChar w:fldCharType="end"/>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GB311-83         高压电气设备绝缘试验电压和试验方法</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规范书中所有设备、备品备件，除规定的技术要求和参数外，其余均应遵照最新版的IEC标准及相关规程、规范要求。</w:t>
      </w:r>
    </w:p>
    <w:p>
      <w:pPr>
        <w:spacing w:line="240" w:lineRule="auto"/>
        <w:ind w:firstLine="560"/>
        <w:rPr>
          <w:rFonts w:hint="eastAsia" w:ascii="仿宋" w:hAnsi="仿宋" w:eastAsia="仿宋" w:cs="仿宋"/>
          <w:sz w:val="24"/>
        </w:rPr>
      </w:pPr>
      <w:r>
        <w:rPr>
          <w:rFonts w:hint="eastAsia" w:ascii="仿宋" w:hAnsi="仿宋" w:eastAsia="仿宋" w:cs="仿宋"/>
          <w:sz w:val="28"/>
          <w:szCs w:val="28"/>
          <w:highlight w:val="none"/>
        </w:rPr>
        <w:t>投标方在执行本规范书所列标准有矛盾时，按较高标准执行。</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45" w:name="_Toc6445"/>
      <w:r>
        <w:rPr>
          <w:rFonts w:hint="eastAsia" w:ascii="仿宋" w:hAnsi="仿宋" w:eastAsia="仿宋" w:cs="仿宋"/>
          <w:sz w:val="28"/>
          <w:szCs w:val="28"/>
          <w:highlight w:val="none"/>
          <w:lang w:val="en-US" w:eastAsia="zh-CN"/>
        </w:rPr>
        <w:t>2、工程概况</w:t>
      </w:r>
      <w:bookmarkEnd w:id="45"/>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博通公司2012年投运的#6引风机、一、二次风机高压变频器多次发生控制系统及功率单元故障，各采样值不准确，系统运行不稳定。</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根据生产经营计划安排并结合设备寿命管理，本次对变频器控制系统及功率单元进行升级改造（变压器柜、旁路柜不变），改造时保留变频器柜体不动，只对内部的功率单元、控制板、监控器、电源系统等进行升级、布线、调试改造，</w:t>
      </w:r>
      <w:r>
        <w:rPr>
          <w:rFonts w:hint="eastAsia" w:ascii="仿宋" w:hAnsi="仿宋" w:eastAsia="仿宋" w:cs="仿宋"/>
          <w:sz w:val="28"/>
          <w:szCs w:val="28"/>
          <w:highlight w:val="none"/>
          <w:lang w:val="en-US" w:eastAsia="zh-CN"/>
        </w:rPr>
        <w:t>所有改造项目由投标方施工完成。</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46" w:name="_Toc3769"/>
      <w:r>
        <w:rPr>
          <w:rFonts w:hint="eastAsia" w:ascii="仿宋" w:hAnsi="仿宋" w:eastAsia="仿宋" w:cs="仿宋"/>
          <w:sz w:val="28"/>
          <w:szCs w:val="28"/>
          <w:highlight w:val="none"/>
          <w:lang w:val="en-US" w:eastAsia="zh-CN"/>
        </w:rPr>
        <w:t>3、技术要求</w:t>
      </w:r>
      <w:bookmarkEnd w:id="46"/>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投标方应采用成熟、稳定的产品和技术。</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3.1投标方改造的设备必须符合1.7的各项标准要求，改造后应对设备进行必要的检查与试验，以保证整个设计和改造符合规程要求，投标方还应向招标方提供试验报告。</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投标方应向招标方保证所供配件是技术先进、成熟可靠的全新配件或产品。在材料选择方面应准确无误，制作工艺无任何缺陷和疏忽。技术文件及图纸要清晰、正确、完整，能满足项目的安装及正常运行和维护的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3.3对配套设备的要求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3.3.1本规范书所涉及的设备，如由其他厂家配套的应由投标方统一协调，并对厂家提供的产品质量及进度负责。</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3.3.2所有外购件应由投标方负责选择，采用性能可靠的优质产品。并附有相应的产品合格证和说明书，并取得招标方认可方能使用。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3.4在安装、调试及质保期内因质量问题引起的设备部件的损坏，由投标方免费更换。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3.5投标方应提出施工现场安装注意事项及安装质量标准。系统正常后进行现场调试，测试内容按现场试验方法要求逐项进行并记录。</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3.6投标方在应答文件中应对本项目执行的质量保证体系进行简要的介绍，对质量的保证措施进行必要的说明。</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3.7为了减小现场施工量，缩短现场施工周期，节省人力物力成本。要求所有改造不砸墙，不移机，并保留原设备的屏柜及外壳壳体，从而不影响设备及房间布局，不影响原有房间消防通道及应急通道，不影响原有散热系统等。</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3.8投标方改造过程中涉及柜体及其内部原有铜排等位置或尺寸发生变化时，所需的材料全部由投标方负责。原控制柜体电缆进线方式均为下进线方式，电缆连接方式及对外接口与原设备完全相同。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3.9为了保证功率模块的整体性能，IGBT</w:t>
      </w:r>
      <w:r>
        <w:rPr>
          <w:rFonts w:hint="eastAsia" w:ascii="仿宋" w:hAnsi="仿宋" w:eastAsia="仿宋" w:cs="仿宋"/>
          <w:sz w:val="28"/>
          <w:szCs w:val="28"/>
          <w:highlight w:val="none"/>
          <w:lang w:val="en-US" w:eastAsia="zh-CN"/>
        </w:rPr>
        <w:t>应</w:t>
      </w:r>
      <w:r>
        <w:rPr>
          <w:rFonts w:hint="eastAsia" w:ascii="仿宋" w:hAnsi="仿宋" w:eastAsia="仿宋" w:cs="仿宋"/>
          <w:sz w:val="28"/>
          <w:szCs w:val="28"/>
          <w:highlight w:val="none"/>
          <w:lang w:eastAsia="zh-CN"/>
        </w:rPr>
        <w:t>选用等同于或优于</w:t>
      </w:r>
      <w:r>
        <w:rPr>
          <w:rFonts w:hint="eastAsia" w:ascii="仿宋" w:hAnsi="仿宋" w:eastAsia="仿宋" w:cs="仿宋"/>
          <w:sz w:val="28"/>
          <w:szCs w:val="28"/>
          <w:highlight w:val="none"/>
        </w:rPr>
        <w:t>德国英飞凌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德国西门康、富士等品牌的产品</w:t>
      </w:r>
      <w:r>
        <w:rPr>
          <w:rFonts w:hint="eastAsia" w:ascii="仿宋" w:hAnsi="仿宋" w:eastAsia="仿宋" w:cs="仿宋"/>
          <w:sz w:val="28"/>
          <w:szCs w:val="28"/>
          <w:highlight w:val="none"/>
        </w:rPr>
        <w:t>，且电流容量不少于模块额定电流2倍的配置，选用单只IGBT。电解电容</w:t>
      </w:r>
      <w:r>
        <w:rPr>
          <w:rFonts w:hint="eastAsia" w:ascii="仿宋" w:hAnsi="仿宋" w:eastAsia="仿宋" w:cs="仿宋"/>
          <w:sz w:val="28"/>
          <w:szCs w:val="28"/>
          <w:highlight w:val="none"/>
          <w:lang w:val="en-US" w:eastAsia="zh-CN"/>
        </w:rPr>
        <w:t>应</w:t>
      </w:r>
      <w:r>
        <w:rPr>
          <w:rFonts w:hint="eastAsia" w:ascii="仿宋" w:hAnsi="仿宋" w:eastAsia="仿宋" w:cs="仿宋"/>
          <w:sz w:val="28"/>
          <w:szCs w:val="28"/>
          <w:highlight w:val="none"/>
          <w:lang w:eastAsia="zh-CN"/>
        </w:rPr>
        <w:t>选用等同于或优于</w:t>
      </w:r>
      <w:r>
        <w:rPr>
          <w:rFonts w:hint="eastAsia" w:ascii="仿宋" w:hAnsi="仿宋" w:eastAsia="仿宋" w:cs="仿宋"/>
          <w:sz w:val="28"/>
          <w:szCs w:val="28"/>
          <w:highlight w:val="none"/>
        </w:rPr>
        <w:t>日本黑金刚、EPCOS、SLANVERT产品，并在应答文件中注明所使用IGBT及电解电容品牌和型号。</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3.10为解决控制系统的兼容问题及原控制系统不稳定性，投标方须采用更换为全新主控制系统方案。由投标方根据现场控制柜尺寸大小定制，直接现场更换，保留原有控制柜柜体。</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3.11改造过程中对原有变压器柜及旁路柜进行清理保养，改造后变频装置整个系统的效率（包括输入移相变压器等）达到96%以上。</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3.12变频装置的功率单元为更改后功率单元为单体化、模块化设计，方便从机架上抽出、移动和变换，应能布置于原柜体内部，所有单元可以互换。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3.13变频器仍采用高—高单元串联多电平PWM电压源型交－直－交变频器。</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3.14 高压电源的瞬间闪变及6kV高压工作电源切备用电源期间不应对变频器有影响。变频器有高低电压穿越功能，需符合《发电厂及变电站辅机变频器高低电压穿越技术规范》（提供中国电科院或国家电控配电设备质量监督检验中心认证的检验报告），变频器在工作时可以承受电网电压波动至-10%~-25%的影响降容运行而不停机。</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3.15变频装置I/O可根据用户的要求进行参数化，变频装置所能提供的I/O接口应满足现场接口需要。频率分辩率0.01HZ。</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3.16变频装置输出必须符合IEEE 519 1992及中国供电部门对电压失真最严格的要求，高于国标GB14549-93对谐波失真4%的要求。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3.17投标方所提供的变频装置主控制器与功率模块之间通讯应全部采用光纤电缆连接，且为满足通讯的高精度与高准确性，必须采用单个功率模块与主控制器之间有单独的光纤通讯，以提高通讯的精度、准确性、快速性和抗干扰能力。为了避免控制掉电对功率单元的影响，功率单元控制系统电源应取自单元直流母线。</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3.18为了提高控制系统的响应速度和对系统的保护能力，避免多块板件箱体插拔式式控制器的通讯弊端，高压变频器采用DSP+FPGA+ARM三核控制系统，集成化程度更高的系统，所有功能集成在一张主板上，板件之间的连接禁止采用插拔方式，应采用硬连接等更可靠的连接方式。</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3.19变频装置能远距离操作，并可对其进行远程/本地控制的切换。</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3.20变频装置带故障自诊断功能，能对所发生的故障类型及故障位置提供中文指示，能在就地显示并远方报警，便于运行人员和检修人员能辨别和解决所出现的问题。</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3.21 变频调速装置应具有良好的调节性能，能根据负荷的变化及时有效地实现调节，在负荷从100%调节到40%的响应时间小于1min。（现场1s—3600s可调）</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3.22变频装置具有加减速自适应功能：保证变频器在不正确的加减速设定时间或负荷变化情况调速过程中，装置不会出现加速过流保护停机，减速过压保护停机的现象。</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3.23变频器的平均无故障运行时间不小于1万小时，变频器出现轻故障报警（如冷却风机停运、温度高时）时能提醒运行人员并进行报警信息上传，但变频器不能停止运行；重故障时要求提供由变频转工频运行接口，保证用户电机不停运。</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变频装置具备的保护功能和保护动作值：具备欠电压、过电压、缺相、变频器过电流、逆变器短路、接地故障、通讯故障、测量信号丢失、冷却风机故障保护功能。上述保护要求同时具备硬件保护和软件保护两种方式，对于电流型、电压型、温度型保护，保护动作定值和时间用户分别可以进行整定。并能联跳输入侧6kV开关。保护的性能应符合国家有关标准的规定。变频装置应具有事故追忆功能，并能上传事故信息。保护至少应满足：</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3.24.1过载保护：电机额定电流的120%，允许1分钟，超过则保护。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3.24.2 过流保护：变频器输出电流超过电机额定电流的150％，3s保护；额定电流200%，在10微秒内保护。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3.24.3过压保护：检测每个功率模块的直流母线电压，如果超过额定电压的120%，则变频器保护。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3.24.4欠压保护：检测每个功率模块的直流母线电压，如果低于欠压保护定值，则变频器保护。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3.24.5过热保护：包括两重保护，在变频调速系统柜体内设置温度检测，当环境温度超过预先设置的值时，发报警信号；另外，在主要的发热元件，即移相变压器和电力电子功率器元件上放置温度检测，一旦超过极限温度，则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3.24.6缺相保护：缺相保护设置在每个功率模块上，当变频器输入侧掉相系统发出报警信号,并保护；功率模块的保险熔芯熔断缺相时，系统会发出报警信号，同时允许模块旁路运行。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3.24.7光纤故障保护。当控制器与功率模块之间的连接光纤出现故障时，会发出报警信号并保护。</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3.25变频器瞬时断电再上电的能力，变频器具备掉电20秒内来电自启动和转速跟踪功能。当电网电压消失后，电机转速下降，如果在20秒内电源恢复，变频器自动搜索跟踪电动机转速按照设定曲线恢复到停机前的运行状态，无初始化时间。</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3.26 变频器应具备自保持功能。即当DCS失电等外部原因引起输出给定指令消失时，变频器应能保持指令消失前的状态运行。</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3.26变频装置输出波形不会引起电机的谐振，可以设置3组临界转速，避开负载电机的共振转速。</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3.27变频装置核心控制板件及附属设备外供电源为交流220V。</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3.28变频装置就地控制窗口必须采用全中文操作界面，采用一体化，触摸式界面，功能设定,参数设定，故障显示和查询，变频器参数查询及设置、系统自诊断等均应采用中文，远方和就地控制切换功能，变频装置的控制面板上应有显示速度、输入电流、输入电压、输出电流、输出电压、变频器运行状态。投标方负责监控软件免费升级。</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应满足DCS控制要求。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3.29 变频装置改造部位必须进行满功率带负荷的整体测试，以确保整套系统的可靠性，每个功率单元在厂需要带载老化测试，测试功率单元欠压、缺相、过压，过压失速、过热、模块故障等保护功能，出厂试验均需进行“满电压”、“满电流”、“满功率”三者同时满足的模拟负载测试，所有功率单元均120%满载老化测试，并提供测试报告。</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3.30当电网掉电又重新来电时，为了保证采样数据的准确性，电机在低频（10Hz）下无冲击再启动，高压变频器输入输出电压检测不允许采用互感器方案，需采取高压无感电阻检测方案。</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3.31为减少功率单元故障，保障功率单元内部控制板的供电可靠性，单元内部控制板件电源必须取自功率单元本身，不得以外接电源的方式来实现。</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3.32单元内部处理器必须使用FPGA芯片，为保障设备运行可靠性，功率单元应具有双旁路功能，必须同时具备模块旁路与机械旁路，单个功率单元故障不应出现导致设备直接停机退出运行的情况。投标方应在应答文件中详细描述两种旁路方式执行的条件以及区别。</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3.33功率单元控制板应设计单独的金属屏蔽盒,同时功率单元壳体采用高压专用覆铝锌板。防止变频器在运行过程中受到强电磁干扰。同时为了增强单元输出与单元输入之间的隔离，提高系统安全性，功率单元输入和输出需要上下设计，不能采用输出包络输入的方式。请详细说明方案并证明。</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3.34为保证操作的便捷性与可靠性，操作界面需要采用全彩色智能屏，屏幕尺寸≥7寸，主页面应能显示给定频率、运行频率、输入电流、输入电压、输出电流、输出电压、输入功率、输出功率以及当前控制方式。</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3.35为保证设备操作性，控制柜装有远程/就地的转换开关，可进行远程、就地的控制切换。在就地监控方式下可通过人机界面进行变频器的启动、停止，转速、频率的调整，功能设定、参数设定等，界面语言都采用中文。</w:t>
      </w:r>
    </w:p>
    <w:p>
      <w:pPr>
        <w:pStyle w:val="2"/>
        <w:keepNext/>
        <w:keepLines/>
        <w:pageBreakBefore w:val="0"/>
        <w:widowControl w:val="0"/>
        <w:kinsoku/>
        <w:wordWrap/>
        <w:overflowPunct/>
        <w:topLinePunct w:val="0"/>
        <w:autoSpaceDE/>
        <w:autoSpaceDN/>
        <w:bidi w:val="0"/>
        <w:adjustRightInd/>
        <w:snapToGrid/>
        <w:spacing w:before="0" w:after="0" w:line="360" w:lineRule="auto"/>
        <w:ind w:firstLine="561"/>
        <w:textAlignment w:val="auto"/>
        <w:rPr>
          <w:rFonts w:hint="eastAsia" w:ascii="仿宋" w:hAnsi="仿宋" w:eastAsia="仿宋" w:cs="仿宋"/>
          <w:sz w:val="28"/>
          <w:szCs w:val="28"/>
          <w:highlight w:val="none"/>
          <w:lang w:val="en-US" w:eastAsia="zh-CN"/>
        </w:rPr>
      </w:pPr>
      <w:bookmarkStart w:id="47" w:name="_Toc6166"/>
      <w:r>
        <w:rPr>
          <w:rFonts w:hint="eastAsia" w:ascii="仿宋" w:hAnsi="仿宋" w:eastAsia="仿宋" w:cs="仿宋"/>
          <w:sz w:val="28"/>
          <w:szCs w:val="28"/>
          <w:highlight w:val="none"/>
          <w:lang w:val="en-US" w:eastAsia="zh-CN"/>
        </w:rPr>
        <w:t>4、 供货范围</w:t>
      </w:r>
      <w:bookmarkEnd w:id="47"/>
    </w:p>
    <w:p>
      <w:pPr>
        <w:pStyle w:val="2"/>
        <w:keepNext/>
        <w:keepLines/>
        <w:pageBreakBefore w:val="0"/>
        <w:widowControl w:val="0"/>
        <w:kinsoku/>
        <w:wordWrap/>
        <w:overflowPunct/>
        <w:topLinePunct w:val="0"/>
        <w:autoSpaceDE/>
        <w:autoSpaceDN/>
        <w:bidi w:val="0"/>
        <w:adjustRightInd/>
        <w:snapToGrid/>
        <w:spacing w:before="0" w:after="0" w:line="360" w:lineRule="auto"/>
        <w:ind w:firstLine="561"/>
        <w:textAlignment w:val="auto"/>
        <w:rPr>
          <w:rFonts w:hint="eastAsia" w:ascii="仿宋" w:hAnsi="仿宋" w:eastAsia="仿宋" w:cs="仿宋"/>
          <w:sz w:val="28"/>
          <w:szCs w:val="28"/>
          <w:highlight w:val="none"/>
        </w:rPr>
      </w:pPr>
      <w:bookmarkStart w:id="48" w:name="_Toc22574"/>
      <w:r>
        <w:rPr>
          <w:rFonts w:hint="eastAsia" w:ascii="仿宋" w:hAnsi="仿宋" w:eastAsia="仿宋" w:cs="仿宋"/>
          <w:sz w:val="28"/>
          <w:szCs w:val="28"/>
          <w:highlight w:val="none"/>
        </w:rPr>
        <w:t>4.1 供货范围</w:t>
      </w:r>
      <w:bookmarkEnd w:id="48"/>
    </w:p>
    <w:tbl>
      <w:tblPr>
        <w:tblStyle w:val="33"/>
        <w:tblW w:w="9075" w:type="dxa"/>
        <w:jc w:val="center"/>
        <w:tblInd w:w="0" w:type="dxa"/>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
      <w:tblGrid>
        <w:gridCol w:w="817"/>
        <w:gridCol w:w="2016"/>
        <w:gridCol w:w="2319"/>
        <w:gridCol w:w="817"/>
        <w:gridCol w:w="817"/>
        <w:gridCol w:w="2289"/>
      </w:tblGrid>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tblHeader/>
          <w:jc w:val="center"/>
        </w:trPr>
        <w:tc>
          <w:tcPr>
            <w:tcW w:w="817" w:type="dxa"/>
            <w:tcBorders>
              <w:top w:val="single" w:color="auto" w:sz="12" w:space="0"/>
              <w:left w:val="single" w:color="auto" w:sz="12" w:space="0"/>
              <w:bottom w:val="single" w:color="auto" w:sz="4" w:space="0"/>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rPr>
              <w:t>序号</w:t>
            </w:r>
          </w:p>
        </w:tc>
        <w:tc>
          <w:tcPr>
            <w:tcW w:w="2016" w:type="dxa"/>
            <w:tcBorders>
              <w:top w:val="single" w:color="auto" w:sz="12"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rPr>
              <w:t>名称</w:t>
            </w:r>
          </w:p>
        </w:tc>
        <w:tc>
          <w:tcPr>
            <w:tcW w:w="2319" w:type="dxa"/>
            <w:tcBorders>
              <w:top w:val="single" w:color="auto" w:sz="12"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lang w:val="en-US" w:eastAsia="zh-CN"/>
              </w:rPr>
              <w:t>原</w:t>
            </w:r>
            <w:r>
              <w:rPr>
                <w:rFonts w:hint="eastAsia" w:ascii="仿宋" w:hAnsi="仿宋" w:eastAsia="仿宋" w:cs="仿宋"/>
                <w:b/>
                <w:sz w:val="24"/>
              </w:rPr>
              <w:t>规格型号</w:t>
            </w:r>
          </w:p>
        </w:tc>
        <w:tc>
          <w:tcPr>
            <w:tcW w:w="817" w:type="dxa"/>
            <w:tcBorders>
              <w:top w:val="single" w:color="auto" w:sz="12"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rPr>
              <w:t>数量</w:t>
            </w:r>
          </w:p>
        </w:tc>
        <w:tc>
          <w:tcPr>
            <w:tcW w:w="817" w:type="dxa"/>
            <w:tcBorders>
              <w:top w:val="single" w:color="auto" w:sz="12"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rPr>
              <w:t>单位</w:t>
            </w:r>
          </w:p>
        </w:tc>
        <w:tc>
          <w:tcPr>
            <w:tcW w:w="2289" w:type="dxa"/>
            <w:tcBorders>
              <w:top w:val="single" w:color="auto" w:sz="12"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b/>
                <w:sz w:val="24"/>
              </w:rPr>
            </w:pPr>
            <w:r>
              <w:rPr>
                <w:rFonts w:hint="eastAsia" w:ascii="仿宋" w:hAnsi="仿宋" w:eastAsia="仿宋" w:cs="仿宋"/>
                <w:b/>
                <w:sz w:val="24"/>
              </w:rPr>
              <w:t>备注</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bookmarkStart w:id="49" w:name="_Hlk225341456"/>
            <w:r>
              <w:rPr>
                <w:rFonts w:hint="eastAsia" w:ascii="仿宋" w:hAnsi="仿宋" w:eastAsia="仿宋" w:cs="仿宋"/>
                <w:sz w:val="24"/>
              </w:rPr>
              <w:t>1</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vertAlign w:val="superscript"/>
              </w:rPr>
              <w:t>#</w:t>
            </w:r>
            <w:r>
              <w:rPr>
                <w:rFonts w:hint="eastAsia" w:ascii="仿宋" w:hAnsi="仿宋" w:eastAsia="仿宋" w:cs="仿宋"/>
                <w:sz w:val="24"/>
              </w:rPr>
              <w:t>6炉引风机高压变频器功率单元升级改造</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HPU690/250MB1</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sz w:val="24"/>
              </w:rPr>
            </w:pPr>
            <w:r>
              <w:rPr>
                <w:rFonts w:hint="eastAsia" w:ascii="仿宋" w:hAnsi="仿宋" w:eastAsia="仿宋" w:cs="仿宋"/>
                <w:sz w:val="24"/>
              </w:rPr>
              <w:t>15</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台</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bookmarkEnd w:id="49"/>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2</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vertAlign w:val="superscript"/>
              </w:rPr>
              <w:t>#</w:t>
            </w:r>
            <w:r>
              <w:rPr>
                <w:rFonts w:hint="eastAsia" w:ascii="仿宋" w:hAnsi="仿宋" w:eastAsia="仿宋" w:cs="仿宋"/>
                <w:sz w:val="24"/>
              </w:rPr>
              <w:t>6炉</w:t>
            </w:r>
            <w:r>
              <w:rPr>
                <w:rFonts w:hint="eastAsia" w:ascii="仿宋" w:hAnsi="仿宋" w:eastAsia="仿宋" w:cs="仿宋"/>
                <w:sz w:val="24"/>
                <w:lang w:val="en-US" w:eastAsia="zh-CN"/>
              </w:rPr>
              <w:t>一次</w:t>
            </w:r>
            <w:r>
              <w:rPr>
                <w:rFonts w:hint="eastAsia" w:ascii="仿宋" w:hAnsi="仿宋" w:eastAsia="仿宋" w:cs="仿宋"/>
                <w:sz w:val="24"/>
              </w:rPr>
              <w:t>风机高压变频器功率单元升级改造</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690/192D1</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sz w:val="24"/>
              </w:rPr>
            </w:pPr>
            <w:r>
              <w:rPr>
                <w:rFonts w:hint="eastAsia" w:ascii="仿宋" w:hAnsi="仿宋" w:eastAsia="仿宋" w:cs="仿宋"/>
                <w:sz w:val="24"/>
              </w:rPr>
              <w:t>15</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台</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3</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bookmarkStart w:id="50" w:name="OLE_LINK6"/>
            <w:bookmarkStart w:id="51" w:name="OLE_LINK5"/>
            <w:r>
              <w:rPr>
                <w:rFonts w:hint="eastAsia" w:ascii="仿宋" w:hAnsi="仿宋" w:eastAsia="仿宋" w:cs="仿宋"/>
                <w:sz w:val="24"/>
                <w:vertAlign w:val="superscript"/>
              </w:rPr>
              <w:t>#</w:t>
            </w:r>
            <w:r>
              <w:rPr>
                <w:rFonts w:hint="eastAsia" w:ascii="仿宋" w:hAnsi="仿宋" w:eastAsia="仿宋" w:cs="仿宋"/>
                <w:sz w:val="24"/>
              </w:rPr>
              <w:t>6炉</w:t>
            </w:r>
            <w:bookmarkEnd w:id="50"/>
            <w:bookmarkEnd w:id="51"/>
            <w:r>
              <w:rPr>
                <w:rFonts w:hint="eastAsia" w:ascii="仿宋" w:hAnsi="仿宋" w:eastAsia="仿宋" w:cs="仿宋"/>
                <w:sz w:val="24"/>
                <w:lang w:val="en-US" w:eastAsia="zh-CN"/>
              </w:rPr>
              <w:t>二次</w:t>
            </w:r>
            <w:r>
              <w:rPr>
                <w:rFonts w:hint="eastAsia" w:ascii="仿宋" w:hAnsi="仿宋" w:eastAsia="仿宋" w:cs="仿宋"/>
                <w:sz w:val="24"/>
              </w:rPr>
              <w:t>风机高压变频器功率单元升级改造</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kern w:val="0"/>
                <w:sz w:val="24"/>
              </w:rPr>
              <w:t>690/096D1</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sz w:val="24"/>
              </w:rPr>
            </w:pPr>
            <w:r>
              <w:rPr>
                <w:rFonts w:hint="eastAsia" w:ascii="仿宋" w:hAnsi="仿宋" w:eastAsia="仿宋" w:cs="仿宋"/>
                <w:sz w:val="24"/>
              </w:rPr>
              <w:t>15</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台</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4</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bookmarkStart w:id="52" w:name="OLE_LINK8"/>
            <w:bookmarkStart w:id="53" w:name="OLE_LINK7"/>
            <w:r>
              <w:rPr>
                <w:rFonts w:hint="eastAsia" w:ascii="仿宋" w:hAnsi="仿宋" w:eastAsia="仿宋" w:cs="仿宋"/>
                <w:sz w:val="24"/>
                <w:vertAlign w:val="superscript"/>
              </w:rPr>
              <w:t>#</w:t>
            </w:r>
            <w:r>
              <w:rPr>
                <w:rFonts w:hint="eastAsia" w:ascii="仿宋" w:hAnsi="仿宋" w:eastAsia="仿宋" w:cs="仿宋"/>
                <w:sz w:val="24"/>
              </w:rPr>
              <w:t>6炉</w:t>
            </w:r>
            <w:bookmarkEnd w:id="52"/>
            <w:bookmarkEnd w:id="53"/>
            <w:r>
              <w:rPr>
                <w:rFonts w:hint="eastAsia" w:ascii="仿宋" w:hAnsi="仿宋" w:eastAsia="仿宋" w:cs="仿宋"/>
                <w:sz w:val="24"/>
              </w:rPr>
              <w:t>高压变频器变压器维保</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rPr>
            </w:pP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sz w:val="24"/>
              </w:rPr>
            </w:pPr>
            <w:r>
              <w:rPr>
                <w:rFonts w:hint="eastAsia" w:ascii="仿宋" w:hAnsi="仿宋" w:eastAsia="仿宋" w:cs="仿宋"/>
                <w:sz w:val="24"/>
              </w:rPr>
              <w:t>3</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台</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清灰、检查、变压器试验，出具试验报告</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5</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vertAlign w:val="superscript"/>
              </w:rPr>
              <w:t>#</w:t>
            </w:r>
            <w:r>
              <w:rPr>
                <w:rFonts w:hint="eastAsia" w:ascii="仿宋" w:hAnsi="仿宋" w:eastAsia="仿宋" w:cs="仿宋"/>
                <w:sz w:val="24"/>
              </w:rPr>
              <w:t>6炉高压变频器</w:t>
            </w:r>
          </w:p>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旁路柜维保</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rPr>
            </w:pP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sz w:val="24"/>
              </w:rPr>
            </w:pPr>
            <w:r>
              <w:rPr>
                <w:rFonts w:hint="eastAsia" w:ascii="仿宋" w:hAnsi="仿宋" w:eastAsia="仿宋" w:cs="仿宋"/>
                <w:sz w:val="24"/>
              </w:rPr>
              <w:t>3</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台</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清灰、检查</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6</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vertAlign w:val="superscript"/>
              </w:rPr>
              <w:t>#</w:t>
            </w:r>
            <w:r>
              <w:rPr>
                <w:rFonts w:hint="eastAsia" w:ascii="仿宋" w:hAnsi="仿宋" w:eastAsia="仿宋" w:cs="仿宋"/>
                <w:color w:val="auto"/>
                <w:sz w:val="24"/>
              </w:rPr>
              <w:t>6炉</w:t>
            </w:r>
            <w:r>
              <w:rPr>
                <w:rFonts w:hint="eastAsia" w:ascii="仿宋" w:hAnsi="仿宋" w:eastAsia="仿宋" w:cs="仿宋"/>
                <w:color w:val="auto"/>
                <w:sz w:val="24"/>
                <w:lang w:val="en-US" w:eastAsia="zh-CN"/>
              </w:rPr>
              <w:t>风机</w:t>
            </w:r>
            <w:r>
              <w:rPr>
                <w:rFonts w:hint="eastAsia" w:ascii="仿宋" w:hAnsi="仿宋" w:eastAsia="仿宋" w:cs="仿宋"/>
                <w:color w:val="auto"/>
                <w:sz w:val="24"/>
              </w:rPr>
              <w:t>高压变频器调试</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sz w:val="24"/>
              </w:rPr>
              <w:t>高压变频HIVERT-Y06/220</w:t>
            </w:r>
          </w:p>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sz w:val="24"/>
              </w:rPr>
              <w:t>高压变频HIVERT-Y06/154</w:t>
            </w:r>
          </w:p>
          <w:p>
            <w:pPr>
              <w:keepNext w:val="0"/>
              <w:keepLines w:val="0"/>
              <w:widowControl/>
              <w:suppressLineNumbers w:val="0"/>
              <w:snapToGrid w:val="0"/>
              <w:spacing w:before="0" w:beforeAutospacing="0" w:after="0" w:afterAutospacing="0"/>
              <w:ind w:left="0" w:right="0"/>
              <w:jc w:val="left"/>
              <w:textAlignment w:val="center"/>
              <w:rPr>
                <w:rFonts w:hint="eastAsia" w:ascii="仿宋" w:hAnsi="仿宋" w:eastAsia="仿宋" w:cs="仿宋"/>
                <w:color w:val="auto"/>
                <w:sz w:val="24"/>
              </w:rPr>
            </w:pPr>
            <w:r>
              <w:rPr>
                <w:rFonts w:hint="eastAsia" w:ascii="仿宋" w:hAnsi="仿宋" w:eastAsia="仿宋" w:cs="仿宋"/>
                <w:color w:val="auto"/>
                <w:sz w:val="24"/>
              </w:rPr>
              <w:t>高压变频HIVERT-Y06/096</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sz w:val="24"/>
              </w:rPr>
            </w:pPr>
            <w:r>
              <w:rPr>
                <w:rFonts w:hint="eastAsia" w:ascii="仿宋" w:hAnsi="仿宋" w:eastAsia="仿宋" w:cs="仿宋"/>
                <w:color w:val="auto"/>
                <w:sz w:val="24"/>
              </w:rPr>
              <w:t>3</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套</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提供调试报告</w:t>
            </w:r>
          </w:p>
        </w:tc>
      </w:tr>
      <w:tr>
        <w:tblPrEx>
          <w:tblBorders>
            <w:top w:val="none" w:color="auto" w:sz="4" w:space="0"/>
            <w:left w:val="none" w:color="auto" w:sz="4" w:space="0"/>
            <w:bottom w:val="none" w:color="auto" w:sz="4" w:space="0"/>
            <w:right w:val="none" w:color="auto" w:sz="4" w:space="0"/>
            <w:insideH w:val="none" w:color="auto" w:sz="4" w:space="0"/>
            <w:insideV w:val="none" w:color="auto" w:sz="4" w:space="0"/>
          </w:tblBorders>
          <w:tblLayout w:type="fixed"/>
          <w:tblCellMar>
            <w:top w:w="0" w:type="dxa"/>
            <w:left w:w="108" w:type="dxa"/>
            <w:bottom w:w="0" w:type="dxa"/>
            <w:right w:w="108" w:type="dxa"/>
          </w:tblCellMar>
        </w:tblPrEx>
        <w:trPr>
          <w:trHeight w:val="0" w:hRule="atLeast"/>
          <w:jc w:val="center"/>
        </w:trPr>
        <w:tc>
          <w:tcPr>
            <w:tcW w:w="817" w:type="dxa"/>
            <w:tcBorders>
              <w:top w:val="single" w:color="auto" w:sz="4" w:space="0"/>
              <w:left w:val="single" w:color="auto" w:sz="12"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7</w:t>
            </w:r>
          </w:p>
        </w:tc>
        <w:tc>
          <w:tcPr>
            <w:tcW w:w="2016"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备用模块</w:t>
            </w:r>
          </w:p>
        </w:tc>
        <w:tc>
          <w:tcPr>
            <w:tcW w:w="2319"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HPU690/250MB1</w:t>
            </w:r>
          </w:p>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690/192D1</w:t>
            </w:r>
          </w:p>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kern w:val="0"/>
                <w:sz w:val="24"/>
              </w:rPr>
            </w:pPr>
            <w:r>
              <w:rPr>
                <w:rFonts w:hint="eastAsia" w:ascii="仿宋" w:hAnsi="仿宋" w:eastAsia="仿宋" w:cs="仿宋"/>
                <w:color w:val="auto"/>
                <w:kern w:val="0"/>
                <w:sz w:val="24"/>
              </w:rPr>
              <w:t>690/096D1</w:t>
            </w:r>
          </w:p>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kern w:val="0"/>
                <w:sz w:val="24"/>
              </w:rPr>
            </w:pP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left"/>
              <w:rPr>
                <w:rFonts w:hint="eastAsia" w:ascii="仿宋" w:hAnsi="仿宋" w:eastAsia="仿宋" w:cs="仿宋"/>
                <w:color w:val="auto"/>
                <w:sz w:val="24"/>
              </w:rPr>
            </w:pPr>
            <w:r>
              <w:rPr>
                <w:rFonts w:hint="eastAsia" w:ascii="仿宋" w:hAnsi="仿宋" w:eastAsia="仿宋" w:cs="仿宋"/>
                <w:color w:val="auto"/>
                <w:sz w:val="24"/>
              </w:rPr>
              <w:t>6</w:t>
            </w:r>
          </w:p>
        </w:tc>
        <w:tc>
          <w:tcPr>
            <w:tcW w:w="817" w:type="dxa"/>
            <w:tcBorders>
              <w:top w:val="single" w:color="auto" w:sz="4" w:space="0"/>
              <w:left w:val="single" w:color="auto" w:sz="4" w:space="0"/>
              <w:bottom w:val="nil"/>
              <w:right w:val="nil"/>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个</w:t>
            </w:r>
          </w:p>
        </w:tc>
        <w:tc>
          <w:tcPr>
            <w:tcW w:w="2289" w:type="dxa"/>
            <w:tcBorders>
              <w:top w:val="single" w:color="auto" w:sz="4" w:space="0"/>
              <w:left w:val="single" w:color="auto" w:sz="4" w:space="0"/>
              <w:bottom w:val="nil"/>
              <w:right w:val="single" w:color="auto" w:sz="12" w:space="0"/>
            </w:tcBorders>
            <w:noWrap w:val="0"/>
            <w:tcMar>
              <w:top w:w="-1" w:type="dxa"/>
              <w:left w:w="-1" w:type="dxa"/>
              <w:bottom w:w="-1" w:type="dxa"/>
              <w:right w:w="-1" w:type="dxa"/>
            </w:tcMar>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每台变频器提供2个备用功率单元</w:t>
            </w:r>
          </w:p>
        </w:tc>
      </w:tr>
    </w:tbl>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4.2 本部分规定了合同设备的供货范围，投标方保证提供本次改造的元器件为全新的、先进的、成熟的、完整的和安全可靠的，且设备的技术经济性能符合要求。</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4.3 投标方提供详细供货清单，清单中依次说明型号、数量、产地、生产厂家等内容。对于属于整套设备运行和施工所必需的部件，即使本合同附件未列出和/或数目不足，投标方仍在执行的同时免费补足。</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4.4设备出厂前须进行校验，达到设备所规定的性能指标。</w:t>
      </w:r>
    </w:p>
    <w:p>
      <w:pPr>
        <w:spacing w:line="240" w:lineRule="auto"/>
        <w:ind w:firstLine="560"/>
        <w:rPr>
          <w:rFonts w:hint="eastAsia" w:ascii="仿宋" w:hAnsi="仿宋" w:eastAsia="仿宋" w:cs="仿宋"/>
          <w:sz w:val="28"/>
          <w:szCs w:val="28"/>
          <w:highlight w:val="none"/>
        </w:rPr>
      </w:pPr>
      <w:r>
        <w:rPr>
          <w:rFonts w:hint="eastAsia" w:ascii="仿宋" w:hAnsi="仿宋" w:eastAsia="仿宋" w:cs="仿宋"/>
          <w:sz w:val="28"/>
          <w:szCs w:val="28"/>
          <w:highlight w:val="none"/>
        </w:rPr>
        <w:t>4.5投标方应提供详细的供货清单，及投标方与设备原厂家的供货合同。清单中依次说明型号、数量、产地、生产厂家、合格证书、校验报告等内容。</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4.</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 xml:space="preserve"> 供货</w:t>
      </w:r>
      <w:r>
        <w:rPr>
          <w:rFonts w:hint="eastAsia" w:ascii="仿宋" w:hAnsi="仿宋" w:eastAsia="仿宋" w:cs="仿宋"/>
          <w:sz w:val="28"/>
          <w:szCs w:val="28"/>
          <w:highlight w:val="none"/>
          <w:lang w:val="en-US" w:eastAsia="zh-CN"/>
        </w:rPr>
        <w:t>周期</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自合同生效之日起30日内，将全部货物送达需方指定现场并通过到货验收 。</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54" w:name="_Toc29902"/>
      <w:r>
        <w:rPr>
          <w:rFonts w:hint="eastAsia" w:ascii="仿宋" w:hAnsi="仿宋" w:eastAsia="仿宋" w:cs="仿宋"/>
          <w:sz w:val="28"/>
          <w:szCs w:val="28"/>
          <w:highlight w:val="none"/>
          <w:lang w:val="en-US" w:eastAsia="zh-CN"/>
        </w:rPr>
        <w:t>5、 售后服务</w:t>
      </w:r>
      <w:bookmarkEnd w:id="54"/>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rPr>
      </w:pPr>
      <w:bookmarkStart w:id="55" w:name="_Toc29673"/>
      <w:r>
        <w:rPr>
          <w:rFonts w:hint="eastAsia" w:ascii="仿宋" w:hAnsi="仿宋" w:eastAsia="仿宋" w:cs="仿宋"/>
          <w:sz w:val="28"/>
          <w:szCs w:val="28"/>
          <w:highlight w:val="none"/>
        </w:rPr>
        <w:t>5.1 技术服务</w:t>
      </w:r>
      <w:bookmarkEnd w:id="55"/>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5.1.1为使该项目正常投运，投标方要派合格的现场服务人员。如果此现场服务的人员与日数不能满足工程需要，招标方有权要求投标方增加现场服务人日数，费用由投标方承担。</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5.1.2 现场服务人员的条件</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1）遵守法纪，遵守现场的各项规章和制度，熟悉并掌握现场和电厂有关方面的规章制度；</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2）了解服务内容，能够正确地进行现场指导；</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3）身体健康，适应现场工作的条件。</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5.1.3 投标方服务人员的一切费用已包含在合同总价中，它包括诸如服务人员的工资及各种补助、交通费、通讯费、食宿费、医疗费、各种保险费、各种税费，等等。</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5.1.4 现场服务人员的工作时间应与现场要求相一致，以满足现场安装、调试和试运行的要求。招标方不再因投标方现场服务人员的加班和节假日而另付费用。</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5.1.5在安装和调试前，招标方现场负责人应向投标方进行技术交底，签订安全培训告知卡。对重要工序，招标方负责人要对施工情况进行确认，否则投标方不能进行下一道工序。经招标方确认的工序如因招标方指导错误而出现质量问题，招标方应负全部责任。现场施工过程中，投标方服务人员不听从招标方安排施工而造成的人身伤害及设备损坏，均由投标方自行承担一切责任。</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5.1.6  招标方现场服务人员应有权处理现场出现的一切技术和商务问题。如现场发生质量问题，投标方现场人员要在招标方规定的时间内处理解决。</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5.1.7培训</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5.1.7.1 为使合同设备能正常安装、调试、运行、维护及检修，投标方有责任提供相应的技术培训。培训内容和时间应与工程进度相一致。</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5.1.7.2 培训计划和内容列出如下：</w:t>
      </w:r>
    </w:p>
    <w:p>
      <w:pPr>
        <w:pStyle w:val="31"/>
        <w:rPr>
          <w:rFonts w:hint="eastAsia"/>
          <w:lang w:val="en-US" w:eastAsia="zh-CN"/>
        </w:rPr>
      </w:pPr>
    </w:p>
    <w:tbl>
      <w:tblPr>
        <w:tblStyle w:val="32"/>
        <w:tblW w:w="8538" w:type="dxa"/>
        <w:jc w:val="center"/>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5"/>
        <w:gridCol w:w="2426"/>
        <w:gridCol w:w="1121"/>
        <w:gridCol w:w="1640"/>
        <w:gridCol w:w="815"/>
        <w:gridCol w:w="1150"/>
        <w:gridCol w:w="67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jc w:val="center"/>
        </w:trPr>
        <w:tc>
          <w:tcPr>
            <w:tcW w:w="715" w:type="dxa"/>
            <w:vMerge w:val="restart"/>
            <w:tcBorders>
              <w:top w:val="single" w:color="auto" w:sz="6" w:space="0"/>
              <w:left w:val="single" w:color="auto" w:sz="6" w:space="0"/>
              <w:bottom w:val="nil"/>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序号</w:t>
            </w:r>
          </w:p>
        </w:tc>
        <w:tc>
          <w:tcPr>
            <w:tcW w:w="2426" w:type="dxa"/>
            <w:vMerge w:val="restart"/>
            <w:tcBorders>
              <w:top w:val="single" w:color="auto" w:sz="6" w:space="0"/>
              <w:left w:val="single" w:color="auto" w:sz="6" w:space="0"/>
              <w:bottom w:val="nil"/>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培训内容</w:t>
            </w:r>
          </w:p>
        </w:tc>
        <w:tc>
          <w:tcPr>
            <w:tcW w:w="1121" w:type="dxa"/>
            <w:vMerge w:val="restart"/>
            <w:tcBorders>
              <w:top w:val="single" w:color="auto" w:sz="6" w:space="0"/>
              <w:left w:val="single" w:color="auto" w:sz="6" w:space="0"/>
              <w:bottom w:val="nil"/>
              <w:right w:val="single" w:color="auto" w:sz="6" w:space="0"/>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计划人天数</w:t>
            </w:r>
          </w:p>
        </w:tc>
        <w:tc>
          <w:tcPr>
            <w:tcW w:w="2455" w:type="dxa"/>
            <w:gridSpan w:val="2"/>
            <w:tcBorders>
              <w:top w:val="single" w:color="auto" w:sz="6" w:space="0"/>
              <w:left w:val="nil"/>
              <w:bottom w:val="single" w:color="auto" w:sz="6" w:space="0"/>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培训教师构成</w:t>
            </w:r>
          </w:p>
        </w:tc>
        <w:tc>
          <w:tcPr>
            <w:tcW w:w="1150" w:type="dxa"/>
            <w:vMerge w:val="restart"/>
            <w:tcBorders>
              <w:top w:val="single" w:color="auto" w:sz="6" w:space="0"/>
              <w:left w:val="single" w:color="auto" w:sz="6" w:space="0"/>
              <w:bottom w:val="nil"/>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地点</w:t>
            </w:r>
          </w:p>
        </w:tc>
        <w:tc>
          <w:tcPr>
            <w:tcW w:w="671" w:type="dxa"/>
            <w:vMerge w:val="restart"/>
            <w:tcBorders>
              <w:top w:val="single" w:color="auto" w:sz="6" w:space="0"/>
              <w:left w:val="single" w:color="auto" w:sz="6" w:space="0"/>
              <w:bottom w:val="nil"/>
              <w:right w:val="single" w:color="auto" w:sz="6" w:space="0"/>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cantSplit/>
          <w:jc w:val="center"/>
        </w:trPr>
        <w:tc>
          <w:tcPr>
            <w:tcW w:w="715" w:type="dxa"/>
            <w:vMerge w:val="continue"/>
            <w:tcBorders>
              <w:top w:val="nil"/>
              <w:left w:val="single" w:color="auto" w:sz="6" w:space="0"/>
              <w:bottom w:val="single" w:color="auto" w:sz="6" w:space="0"/>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c>
          <w:tcPr>
            <w:tcW w:w="2426" w:type="dxa"/>
            <w:vMerge w:val="continue"/>
            <w:tcBorders>
              <w:top w:val="nil"/>
              <w:left w:val="single" w:color="auto" w:sz="6" w:space="0"/>
              <w:bottom w:val="single" w:color="auto" w:sz="6" w:space="0"/>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c>
          <w:tcPr>
            <w:tcW w:w="1121" w:type="dxa"/>
            <w:vMerge w:val="continue"/>
            <w:tcBorders>
              <w:top w:val="nil"/>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c>
          <w:tcPr>
            <w:tcW w:w="1640" w:type="dxa"/>
            <w:tcBorders>
              <w:top w:val="nil"/>
              <w:lef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职称</w:t>
            </w:r>
          </w:p>
        </w:tc>
        <w:tc>
          <w:tcPr>
            <w:tcW w:w="815" w:type="dxa"/>
            <w:tcBorders>
              <w:top w:val="nil"/>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人数</w:t>
            </w:r>
          </w:p>
        </w:tc>
        <w:tc>
          <w:tcPr>
            <w:tcW w:w="1150" w:type="dxa"/>
            <w:vMerge w:val="continue"/>
            <w:tcBorders>
              <w:top w:val="nil"/>
              <w:left w:val="single" w:color="auto" w:sz="6" w:space="0"/>
              <w:bottom w:val="single" w:color="auto" w:sz="6" w:space="0"/>
              <w:right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c>
          <w:tcPr>
            <w:tcW w:w="671" w:type="dxa"/>
            <w:vMerge w:val="continue"/>
            <w:tcBorders>
              <w:top w:val="nil"/>
              <w:left w:val="single" w:color="auto" w:sz="6" w:space="0"/>
              <w:bottom w:val="single" w:color="auto" w:sz="6" w:space="0"/>
              <w:right w:val="single" w:color="auto" w:sz="6" w:space="0"/>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2426"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变频器原理和构成</w:t>
            </w:r>
          </w:p>
        </w:tc>
        <w:tc>
          <w:tcPr>
            <w:tcW w:w="1121"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高级工程师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lang w:eastAsia="zh-CN"/>
              </w:rPr>
            </w:pPr>
            <w:r>
              <w:rPr>
                <w:rFonts w:hint="eastAsia" w:ascii="仿宋" w:hAnsi="仿宋" w:eastAsia="仿宋" w:cs="仿宋"/>
                <w:color w:val="auto"/>
                <w:sz w:val="24"/>
                <w:lang w:val="en-US" w:eastAsia="zh-CN"/>
              </w:rPr>
              <w:t>博通公司</w:t>
            </w:r>
          </w:p>
        </w:tc>
        <w:tc>
          <w:tcPr>
            <w:tcW w:w="671"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2</w:t>
            </w:r>
          </w:p>
        </w:tc>
        <w:tc>
          <w:tcPr>
            <w:tcW w:w="2426"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使用手册讲解</w:t>
            </w:r>
          </w:p>
        </w:tc>
        <w:tc>
          <w:tcPr>
            <w:tcW w:w="1121"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Borders>
              <w:top w:val="nil"/>
            </w:tcBorders>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lang w:val="en-US" w:eastAsia="zh-CN"/>
              </w:rPr>
              <w:t>博通公司</w:t>
            </w:r>
          </w:p>
        </w:tc>
        <w:tc>
          <w:tcPr>
            <w:tcW w:w="671" w:type="dxa"/>
            <w:tcBorders>
              <w:top w:val="nil"/>
            </w:tcBorders>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3</w:t>
            </w:r>
          </w:p>
        </w:tc>
        <w:tc>
          <w:tcPr>
            <w:tcW w:w="2426"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设备维护讲解</w:t>
            </w:r>
          </w:p>
        </w:tc>
        <w:tc>
          <w:tcPr>
            <w:tcW w:w="112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lang w:val="en-US" w:eastAsia="zh-CN"/>
              </w:rPr>
              <w:t>博通公司</w:t>
            </w:r>
          </w:p>
        </w:tc>
        <w:tc>
          <w:tcPr>
            <w:tcW w:w="67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4</w:t>
            </w:r>
          </w:p>
        </w:tc>
        <w:tc>
          <w:tcPr>
            <w:tcW w:w="2426"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现场设备讲解认识</w:t>
            </w:r>
          </w:p>
        </w:tc>
        <w:tc>
          <w:tcPr>
            <w:tcW w:w="112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lang w:val="en-US" w:eastAsia="zh-CN"/>
              </w:rPr>
              <w:t>博通公司</w:t>
            </w:r>
          </w:p>
        </w:tc>
        <w:tc>
          <w:tcPr>
            <w:tcW w:w="67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5</w:t>
            </w:r>
          </w:p>
        </w:tc>
        <w:tc>
          <w:tcPr>
            <w:tcW w:w="2426"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现场操作演示</w:t>
            </w:r>
          </w:p>
        </w:tc>
        <w:tc>
          <w:tcPr>
            <w:tcW w:w="112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高级工程师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lang w:val="en-US" w:eastAsia="zh-CN"/>
              </w:rPr>
              <w:t>博通公司</w:t>
            </w:r>
          </w:p>
        </w:tc>
        <w:tc>
          <w:tcPr>
            <w:tcW w:w="67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Ex>
        <w:trPr>
          <w:jc w:val="center"/>
        </w:trPr>
        <w:tc>
          <w:tcPr>
            <w:tcW w:w="7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6</w:t>
            </w:r>
          </w:p>
        </w:tc>
        <w:tc>
          <w:tcPr>
            <w:tcW w:w="2426"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指导用户操作</w:t>
            </w:r>
          </w:p>
        </w:tc>
        <w:tc>
          <w:tcPr>
            <w:tcW w:w="112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待定</w:t>
            </w:r>
          </w:p>
        </w:tc>
        <w:tc>
          <w:tcPr>
            <w:tcW w:w="16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工程师</w:t>
            </w:r>
          </w:p>
        </w:tc>
        <w:tc>
          <w:tcPr>
            <w:tcW w:w="81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rPr>
              <w:t>1</w:t>
            </w:r>
          </w:p>
        </w:tc>
        <w:tc>
          <w:tcPr>
            <w:tcW w:w="1150" w:type="dxa"/>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r>
              <w:rPr>
                <w:rFonts w:hint="eastAsia" w:ascii="仿宋" w:hAnsi="仿宋" w:eastAsia="仿宋" w:cs="仿宋"/>
                <w:color w:val="auto"/>
                <w:sz w:val="24"/>
                <w:lang w:val="en-US" w:eastAsia="zh-CN"/>
              </w:rPr>
              <w:t>博通公司</w:t>
            </w:r>
          </w:p>
        </w:tc>
        <w:tc>
          <w:tcPr>
            <w:tcW w:w="671"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color w:val="auto"/>
                <w:sz w:val="24"/>
              </w:rPr>
            </w:pPr>
          </w:p>
        </w:tc>
      </w:tr>
    </w:tbl>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5.1.7.3 培训的时间、地点由双方商定。</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56" w:name="_Toc29847"/>
      <w:r>
        <w:rPr>
          <w:rFonts w:hint="eastAsia" w:ascii="仿宋" w:hAnsi="仿宋" w:eastAsia="仿宋" w:cs="仿宋"/>
          <w:sz w:val="28"/>
          <w:szCs w:val="28"/>
          <w:highlight w:val="none"/>
          <w:lang w:val="en-US" w:eastAsia="zh-CN"/>
        </w:rPr>
        <w:t>5.2 系统验收</w:t>
      </w:r>
      <w:bookmarkEnd w:id="56"/>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系统验收由双方共同参加，系统软硬件运行正常，文档资料齐全，培训工作完成。招标方现场出工作记录单，结论双方均应承认。如双方对试验的结果有不一致意见，双方协商解决。如仍不能达成一致，则提交双方上级部门协商。</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5.3 质保要求</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5.2.1 整机质保 36个月，自设备最终验收合格之日起。</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5.2.2 关键部件功率单元、IGBT、主控板：同整机质保。</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冷却风机、继电器、接触器、风扇：24个月。</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电解电容：3 年（设计寿命 ≥10 年）。</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软件：终身免费升级 / 维护。</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5.2.3 设计寿命：整机 ≥15 年；MTBF ≥100,000 小时。</w:t>
      </w:r>
    </w:p>
    <w:p>
      <w:pPr>
        <w:spacing w:line="240" w:lineRule="auto"/>
        <w:ind w:firstLine="561" w:firstLineChars="0"/>
        <w:outlineLvl w:val="1"/>
        <w:rPr>
          <w:rFonts w:hint="eastAsia" w:ascii="仿宋" w:hAnsi="仿宋" w:eastAsia="仿宋" w:cs="仿宋"/>
          <w:b/>
          <w:bCs/>
          <w:color w:val="000000"/>
          <w:kern w:val="2"/>
          <w:sz w:val="32"/>
          <w:szCs w:val="32"/>
          <w:lang w:val="en-US" w:eastAsia="zh-CN" w:bidi="ar-SA"/>
        </w:rPr>
      </w:pPr>
      <w:bookmarkStart w:id="57" w:name="_Toc16828"/>
      <w:r>
        <w:rPr>
          <w:rFonts w:hint="eastAsia" w:ascii="仿宋" w:hAnsi="仿宋" w:eastAsia="仿宋" w:cs="仿宋"/>
          <w:b/>
          <w:bCs/>
          <w:color w:val="000000"/>
          <w:kern w:val="2"/>
          <w:sz w:val="32"/>
          <w:szCs w:val="32"/>
          <w:lang w:val="en-US" w:eastAsia="zh-CN" w:bidi="ar-SA"/>
        </w:rPr>
        <w:t>5.4后期服务要求</w:t>
      </w:r>
      <w:bookmarkEnd w:id="57"/>
    </w:p>
    <w:p>
      <w:pPr>
        <w:spacing w:line="240" w:lineRule="auto"/>
        <w:ind w:firstLine="560"/>
        <w:rPr>
          <w:rFonts w:hint="eastAsia" w:ascii="仿宋" w:hAnsi="仿宋" w:eastAsia="仿宋" w:cs="仿宋"/>
          <w:sz w:val="28"/>
          <w:szCs w:val="28"/>
          <w:highlight w:val="none"/>
          <w:lang w:val="en-US" w:eastAsia="zh-CN"/>
        </w:rPr>
      </w:pPr>
      <w:bookmarkStart w:id="58" w:name="_Toc20786"/>
      <w:r>
        <w:rPr>
          <w:rFonts w:hint="eastAsia" w:ascii="仿宋" w:hAnsi="仿宋" w:eastAsia="仿宋" w:cs="仿宋"/>
          <w:sz w:val="28"/>
          <w:szCs w:val="28"/>
          <w:highlight w:val="none"/>
          <w:lang w:val="en-US" w:eastAsia="zh-CN"/>
        </w:rPr>
        <w:t>5.4.1技术支持</w:t>
      </w:r>
      <w:bookmarkEnd w:id="58"/>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质保期满后，在产品的有效使用期内，每2个月电话回访一次，根据检查结果向招标方提出维修建议。投标方应设有售后服务机构，能够在货物提供后，直接向招标方提供技术支持。当设备出现故障时，电话2小时响应，48小时内到达招标方现场。</w:t>
      </w:r>
    </w:p>
    <w:p>
      <w:pPr>
        <w:spacing w:line="240" w:lineRule="auto"/>
        <w:ind w:firstLine="560"/>
        <w:rPr>
          <w:rFonts w:hint="eastAsia" w:ascii="仿宋" w:hAnsi="仿宋" w:eastAsia="仿宋" w:cs="仿宋"/>
          <w:sz w:val="28"/>
          <w:szCs w:val="28"/>
          <w:highlight w:val="none"/>
          <w:lang w:val="en-US" w:eastAsia="zh-CN"/>
        </w:rPr>
      </w:pPr>
      <w:bookmarkStart w:id="59" w:name="_Toc20688"/>
      <w:r>
        <w:rPr>
          <w:rFonts w:hint="eastAsia" w:ascii="仿宋" w:hAnsi="仿宋" w:eastAsia="仿宋" w:cs="仿宋"/>
          <w:sz w:val="28"/>
          <w:szCs w:val="28"/>
          <w:highlight w:val="none"/>
          <w:lang w:val="en-US" w:eastAsia="zh-CN"/>
        </w:rPr>
        <w:t>5.4.2备件支持</w:t>
      </w:r>
      <w:bookmarkEnd w:id="59"/>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投标方保证长期优惠提供所有备品配件，应答时提供变频器所有备品备件及材料费用清单。</w:t>
      </w:r>
    </w:p>
    <w:p>
      <w:pPr>
        <w:spacing w:line="240" w:lineRule="auto"/>
        <w:ind w:firstLine="560"/>
        <w:rPr>
          <w:rFonts w:hint="eastAsia" w:ascii="仿宋" w:hAnsi="仿宋" w:eastAsia="仿宋" w:cs="仿宋"/>
          <w:sz w:val="28"/>
          <w:szCs w:val="28"/>
          <w:highlight w:val="none"/>
          <w:lang w:val="en-US" w:eastAsia="zh-CN"/>
        </w:rPr>
      </w:pPr>
      <w:bookmarkStart w:id="60" w:name="_Toc20453"/>
      <w:r>
        <w:rPr>
          <w:rFonts w:hint="eastAsia" w:ascii="仿宋" w:hAnsi="仿宋" w:eastAsia="仿宋" w:cs="仿宋"/>
          <w:sz w:val="28"/>
          <w:szCs w:val="28"/>
          <w:highlight w:val="none"/>
          <w:lang w:val="en-US" w:eastAsia="zh-CN"/>
        </w:rPr>
        <w:t>5.4.3维修支持</w:t>
      </w:r>
      <w:bookmarkEnd w:id="60"/>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质保期满后变频器故障时，投标方负责修理和更换，备品备件及材料费不能高于应答时所报的价格，人员收取交通及人工成本费用。软件免费负责升级。</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61" w:name="_Toc273"/>
      <w:r>
        <w:rPr>
          <w:rFonts w:hint="eastAsia" w:ascii="仿宋" w:hAnsi="仿宋" w:eastAsia="仿宋" w:cs="仿宋"/>
          <w:sz w:val="28"/>
          <w:szCs w:val="28"/>
          <w:highlight w:val="none"/>
          <w:lang w:val="en-US" w:eastAsia="zh-CN"/>
        </w:rPr>
        <w:t>6、 技术文件</w:t>
      </w:r>
      <w:bookmarkEnd w:id="61"/>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要求提供以下技术资料：</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6.1 投标方提供的资料应使用国家法定单位制即国际单位制，语言为中文。</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6.2 资料的组织结构清晰、逻辑性强。资料内容要正确、准确、一致、清晰完整，满足项目要求。</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6.3 对于其它没有列入合同技术资料清单，却是工程所必需的文件和资料，一经发现，投标方也应及时免费提供。</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6.4 投标方要及时提供与合同设备设计制造有关的资料。投标方应提供适用于本工程实际情况且为本工程专用的技术资料。投标方应向招标方提供6套技术图纸资料，同时提供电子版技术图纸资料。投标方所提供的电子版图纸资料格式为：图纸资料为AutoCADR2004、文本资料为WORD。</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6.5投标方必须提供必要的图纸和资料，其中必须包括下列图纸：（投标方应补充和细化所列技术资料以满足本项目要求） </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质量文件；</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变频器技术说明书；</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变频器使用说明书；</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检测和试验报告；</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变频装置控制回路原理接线图及设备表；</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变频器最终参数设置表；</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其它必须的资料。</w:t>
      </w:r>
    </w:p>
    <w:p>
      <w:pPr>
        <w:pStyle w:val="2"/>
        <w:keepNext/>
        <w:keepLines/>
        <w:pageBreakBefore w:val="0"/>
        <w:widowControl w:val="0"/>
        <w:kinsoku/>
        <w:wordWrap/>
        <w:overflowPunct/>
        <w:topLinePunct w:val="0"/>
        <w:autoSpaceDE/>
        <w:autoSpaceDN/>
        <w:bidi w:val="0"/>
        <w:adjustRightInd/>
        <w:snapToGrid/>
        <w:spacing w:before="0" w:after="0" w:line="240" w:lineRule="auto"/>
        <w:ind w:firstLine="561"/>
        <w:textAlignment w:val="auto"/>
        <w:rPr>
          <w:rFonts w:hint="eastAsia" w:ascii="仿宋" w:hAnsi="仿宋" w:eastAsia="仿宋" w:cs="仿宋"/>
          <w:sz w:val="28"/>
          <w:szCs w:val="28"/>
          <w:highlight w:val="none"/>
          <w:lang w:val="en-US" w:eastAsia="zh-CN"/>
        </w:rPr>
      </w:pPr>
      <w:bookmarkStart w:id="62" w:name="_Toc10683"/>
      <w:r>
        <w:rPr>
          <w:rFonts w:hint="eastAsia" w:ascii="仿宋" w:hAnsi="仿宋" w:eastAsia="仿宋" w:cs="仿宋"/>
          <w:sz w:val="28"/>
          <w:szCs w:val="28"/>
          <w:highlight w:val="none"/>
          <w:lang w:val="en-US" w:eastAsia="zh-CN"/>
        </w:rPr>
        <w:t>7、 其他</w:t>
      </w:r>
      <w:bookmarkEnd w:id="62"/>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7.1本技术要求并未对一切技术细节作出规定，应保证提供符合最新行业标准的优质产品。</w:t>
      </w:r>
    </w:p>
    <w:p>
      <w:pPr>
        <w:spacing w:line="240" w:lineRule="auto"/>
        <w:ind w:firstLine="56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7.2本技术要求将作为合同附件，与合同正文具有同等效力。</w:t>
      </w:r>
    </w:p>
    <w:p>
      <w:pPr>
        <w:pStyle w:val="31"/>
        <w:rPr>
          <w:rFonts w:hint="eastAsia"/>
          <w:color w:val="000000" w:themeColor="text1"/>
          <w:highlight w:val="none"/>
          <w14:textFill>
            <w14:solidFill>
              <w14:schemeClr w14:val="tx1"/>
            </w14:solidFill>
          </w14:textFill>
        </w:rPr>
      </w:pPr>
    </w:p>
    <w:p>
      <w:pPr>
        <w:pStyle w:val="31"/>
        <w:rPr>
          <w:rFonts w:hint="eastAsia"/>
          <w:color w:val="000000" w:themeColor="text1"/>
          <w:highlight w:val="none"/>
          <w14:textFill>
            <w14:solidFill>
              <w14:schemeClr w14:val="tx1"/>
            </w14:solidFill>
          </w14:textFill>
        </w:rPr>
      </w:pPr>
    </w:p>
    <w:p>
      <w:pPr>
        <w:pStyle w:val="31"/>
        <w:rPr>
          <w:rFonts w:hint="eastAsia"/>
          <w:color w:val="000000" w:themeColor="text1"/>
          <w:highlight w:val="none"/>
          <w14:textFill>
            <w14:solidFill>
              <w14:schemeClr w14:val="tx1"/>
            </w14:solidFill>
          </w14:textFill>
        </w:rPr>
      </w:pPr>
    </w:p>
    <w:p>
      <w:pPr>
        <w:pStyle w:val="31"/>
        <w:rPr>
          <w:rFonts w:hint="eastAsia"/>
          <w:color w:val="000000" w:themeColor="text1"/>
          <w:highlight w:val="none"/>
          <w14:textFill>
            <w14:solidFill>
              <w14:schemeClr w14:val="tx1"/>
            </w14:solidFill>
          </w14:textFill>
        </w:rPr>
      </w:pPr>
    </w:p>
    <w:p>
      <w:pPr>
        <w:keepNext w:val="0"/>
        <w:keepLines w:val="0"/>
        <w:pageBreakBefore/>
        <w:widowControl w:val="0"/>
        <w:kinsoku/>
        <w:wordWrap/>
        <w:overflowPunct/>
        <w:topLinePunct w:val="0"/>
        <w:autoSpaceDE/>
        <w:autoSpaceDN/>
        <w:bidi w:val="0"/>
        <w:adjustRightInd/>
        <w:snapToGrid/>
        <w:spacing w:line="520" w:lineRule="exact"/>
        <w:jc w:val="center"/>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r>
        <w:rPr>
          <w:rFonts w:hint="eastAsia" w:ascii="仿宋" w:hAnsi="仿宋" w:eastAsia="仿宋" w:cs="仿宋"/>
          <w:b/>
          <w:bCs/>
          <w:color w:val="000000" w:themeColor="text1"/>
          <w:sz w:val="44"/>
          <w:szCs w:val="44"/>
          <w:highlight w:val="none"/>
          <w14:textFill>
            <w14:solidFill>
              <w14:schemeClr w14:val="tx1"/>
            </w14:solidFill>
          </w14:textFill>
        </w:rPr>
        <w:t>第五部分   投标文件（格式）</w:t>
      </w:r>
      <w:bookmarkEnd w:id="21"/>
    </w:p>
    <w:p>
      <w:pPr>
        <w:pStyle w:val="15"/>
        <w:tabs>
          <w:tab w:val="left" w:pos="580"/>
        </w:tabs>
        <w:ind w:left="211" w:leftChars="50" w:hanging="106" w:hangingChars="22"/>
        <w:jc w:val="center"/>
        <w:rPr>
          <w:rFonts w:hint="eastAsia" w:ascii="仿宋" w:hAnsi="仿宋" w:eastAsia="仿宋" w:cs="仿宋"/>
          <w:b/>
          <w:bCs/>
          <w:color w:val="000000" w:themeColor="text1"/>
          <w:sz w:val="48"/>
          <w:highlight w:val="none"/>
          <w14:textFill>
            <w14:solidFill>
              <w14:schemeClr w14:val="tx1"/>
            </w14:solidFill>
          </w14:textFill>
        </w:rPr>
      </w:pPr>
    </w:p>
    <w:p>
      <w:pPr>
        <w:rPr>
          <w:rFonts w:hint="eastAsia" w:ascii="仿宋" w:hAnsi="仿宋" w:eastAsia="仿宋" w:cs="仿宋"/>
          <w:b/>
          <w:bCs/>
          <w:color w:val="000000" w:themeColor="text1"/>
          <w:sz w:val="48"/>
          <w:highlight w:val="none"/>
          <w14:textFill>
            <w14:solidFill>
              <w14:schemeClr w14:val="tx1"/>
            </w14:solidFill>
          </w14:textFill>
        </w:rPr>
      </w:pPr>
    </w:p>
    <w:p>
      <w:pPr>
        <w:pStyle w:val="15"/>
        <w:rPr>
          <w:rFonts w:hint="eastAsia" w:ascii="仿宋" w:hAnsi="仿宋" w:eastAsia="仿宋" w:cs="仿宋"/>
          <w:b/>
          <w:bCs/>
          <w:color w:val="000000" w:themeColor="text1"/>
          <w:sz w:val="48"/>
          <w:highlight w:val="none"/>
          <w14:textFill>
            <w14:solidFill>
              <w14:schemeClr w14:val="tx1"/>
            </w14:solidFill>
          </w14:textFill>
        </w:rPr>
      </w:pPr>
    </w:p>
    <w:p>
      <w:pPr>
        <w:rPr>
          <w:rFonts w:hint="eastAsia" w:ascii="仿宋" w:hAnsi="仿宋" w:eastAsia="仿宋" w:cs="仿宋"/>
          <w:b/>
          <w:bCs/>
          <w:color w:val="000000" w:themeColor="text1"/>
          <w:sz w:val="48"/>
          <w:highlight w:val="none"/>
          <w14:textFill>
            <w14:solidFill>
              <w14:schemeClr w14:val="tx1"/>
            </w14:solidFill>
          </w14:textFill>
        </w:rPr>
      </w:pPr>
    </w:p>
    <w:p>
      <w:pPr>
        <w:pStyle w:val="15"/>
        <w:rPr>
          <w:rFonts w:hint="eastAsia" w:ascii="仿宋" w:hAnsi="仿宋" w:eastAsia="仿宋" w:cs="仿宋"/>
          <w:b/>
          <w:bCs/>
          <w:color w:val="000000" w:themeColor="text1"/>
          <w:sz w:val="48"/>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tabs>
          <w:tab w:val="left" w:pos="580"/>
        </w:tabs>
        <w:spacing w:line="760" w:lineRule="exact"/>
        <w:ind w:left="211" w:leftChars="50" w:hanging="106" w:hangingChars="22"/>
        <w:jc w:val="right"/>
        <w:rPr>
          <w:rFonts w:hint="eastAsia" w:ascii="仿宋" w:hAnsi="仿宋" w:eastAsia="仿宋" w:cs="仿宋"/>
          <w:b/>
          <w:bCs/>
          <w:color w:val="000000" w:themeColor="text1"/>
          <w:sz w:val="48"/>
          <w:highlight w:val="none"/>
          <w14:textFill>
            <w14:solidFill>
              <w14:schemeClr w14:val="tx1"/>
            </w14:solidFill>
          </w14:textFill>
        </w:rPr>
      </w:pPr>
    </w:p>
    <w:p>
      <w:pPr>
        <w:pStyle w:val="15"/>
        <w:tabs>
          <w:tab w:val="left" w:pos="580"/>
        </w:tabs>
        <w:spacing w:line="760" w:lineRule="exact"/>
        <w:ind w:left="211" w:leftChars="50" w:hanging="106" w:hangingChars="22"/>
        <w:jc w:val="right"/>
        <w:rPr>
          <w:rFonts w:hint="eastAsia" w:ascii="仿宋" w:hAnsi="仿宋" w:eastAsia="仿宋" w:cs="仿宋"/>
          <w:b/>
          <w:bCs/>
          <w:color w:val="000000" w:themeColor="text1"/>
          <w:sz w:val="48"/>
          <w:highlight w:val="none"/>
          <w14:textFill>
            <w14:solidFill>
              <w14:schemeClr w14:val="tx1"/>
            </w14:solidFill>
          </w14:textFill>
        </w:rPr>
      </w:pPr>
    </w:p>
    <w:p>
      <w:pPr>
        <w:pStyle w:val="15"/>
        <w:tabs>
          <w:tab w:val="left" w:pos="580"/>
        </w:tabs>
        <w:spacing w:line="760" w:lineRule="exact"/>
        <w:ind w:left="211" w:leftChars="50" w:hanging="106" w:hangingChars="22"/>
        <w:jc w:val="right"/>
        <w:rPr>
          <w:rFonts w:hint="eastAsia" w:ascii="仿宋" w:hAnsi="仿宋" w:eastAsia="仿宋" w:cs="仿宋"/>
          <w:b/>
          <w:bCs/>
          <w:color w:val="000000" w:themeColor="text1"/>
          <w:sz w:val="48"/>
          <w:highlight w:val="none"/>
          <w14:textFill>
            <w14:solidFill>
              <w14:schemeClr w14:val="tx1"/>
            </w14:solidFill>
          </w14:textFill>
        </w:rPr>
      </w:pPr>
    </w:p>
    <w:p>
      <w:pPr>
        <w:pStyle w:val="15"/>
        <w:tabs>
          <w:tab w:val="left" w:pos="580"/>
        </w:tabs>
        <w:spacing w:line="240" w:lineRule="auto"/>
        <w:ind w:left="171" w:leftChars="50" w:hanging="66" w:hangingChars="22"/>
        <w:jc w:val="right"/>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br w:type="page"/>
      </w:r>
      <w:r>
        <w:rPr>
          <w:rFonts w:hint="eastAsia" w:ascii="仿宋" w:hAnsi="仿宋" w:eastAsia="仿宋" w:cs="仿宋"/>
          <w:b/>
          <w:bCs/>
          <w:color w:val="000000" w:themeColor="text1"/>
          <w:sz w:val="30"/>
          <w:szCs w:val="30"/>
          <w:highlight w:val="none"/>
          <w14:textFill>
            <w14:solidFill>
              <w14:schemeClr w14:val="tx1"/>
            </w14:solidFill>
          </w14:textFill>
        </w:rPr>
        <w:t>（格式一）</w:t>
      </w:r>
    </w:p>
    <w:p>
      <w:pPr>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52"/>
          <w:highlight w:val="none"/>
          <w14:textFill>
            <w14:solidFill>
              <w14:schemeClr w14:val="tx1"/>
            </w14:solidFill>
          </w14:textFill>
        </w:rPr>
        <w:cr/>
      </w:r>
      <w:r>
        <w:rPr>
          <w:rFonts w:hint="eastAsia" w:ascii="仿宋" w:hAnsi="仿宋" w:eastAsia="仿宋" w:cs="仿宋"/>
          <w:b/>
          <w:bCs/>
          <w:color w:val="000000" w:themeColor="text1"/>
          <w:sz w:val="84"/>
          <w:highlight w:val="none"/>
          <w14:textFill>
            <w14:solidFill>
              <w14:schemeClr w14:val="tx1"/>
            </w14:solidFill>
          </w14:textFill>
        </w:rPr>
        <w:t>投 标 文 件</w:t>
      </w:r>
      <w:r>
        <w:rPr>
          <w:rFonts w:hint="eastAsia" w:ascii="仿宋" w:hAnsi="仿宋" w:eastAsia="仿宋" w:cs="仿宋"/>
          <w:b/>
          <w:bCs/>
          <w:color w:val="000000" w:themeColor="text1"/>
          <w:sz w:val="84"/>
          <w:highlight w:val="none"/>
          <w14:textFill>
            <w14:solidFill>
              <w14:schemeClr w14:val="tx1"/>
            </w14:solidFill>
          </w14:textFill>
        </w:rPr>
        <w:cr/>
      </w:r>
      <w:r>
        <w:rPr>
          <w:rFonts w:hint="eastAsia" w:ascii="仿宋" w:hAnsi="仿宋" w:eastAsia="仿宋" w:cs="仿宋"/>
          <w:b/>
          <w:bCs/>
          <w:color w:val="000000" w:themeColor="text1"/>
          <w:sz w:val="52"/>
          <w:szCs w:val="52"/>
          <w:highlight w:val="none"/>
          <w:lang w:eastAsia="zh-CN"/>
          <w14:textFill>
            <w14:solidFill>
              <w14:schemeClr w14:val="tx1"/>
            </w14:solidFill>
          </w14:textFill>
        </w:rPr>
        <w:t>（</w:t>
      </w:r>
      <w:r>
        <w:rPr>
          <w:rFonts w:hint="eastAsia" w:ascii="仿宋" w:hAnsi="仿宋" w:eastAsia="仿宋" w:cs="仿宋"/>
          <w:b/>
          <w:bCs/>
          <w:color w:val="000000" w:themeColor="text1"/>
          <w:sz w:val="52"/>
          <w:szCs w:val="52"/>
          <w:highlight w:val="none"/>
          <w14:textFill>
            <w14:solidFill>
              <w14:schemeClr w14:val="tx1"/>
            </w14:solidFill>
          </w14:textFill>
        </w:rPr>
        <w:t>第一册</w:t>
      </w:r>
      <w:r>
        <w:rPr>
          <w:rFonts w:hint="eastAsia" w:ascii="仿宋" w:hAnsi="仿宋" w:eastAsia="仿宋" w:cs="仿宋"/>
          <w:b/>
          <w:bCs/>
          <w:color w:val="000000" w:themeColor="text1"/>
          <w:sz w:val="52"/>
          <w:szCs w:val="52"/>
          <w:highlight w:val="none"/>
          <w:lang w:eastAsia="zh-CN"/>
          <w14:textFill>
            <w14:solidFill>
              <w14:schemeClr w14:val="tx1"/>
            </w14:solidFill>
          </w14:textFill>
        </w:rPr>
        <w:t>）</w:t>
      </w:r>
      <w:r>
        <w:rPr>
          <w:rFonts w:hint="eastAsia" w:ascii="仿宋" w:hAnsi="仿宋" w:eastAsia="仿宋" w:cs="仿宋"/>
          <w:color w:val="000000" w:themeColor="text1"/>
          <w:sz w:val="72"/>
          <w:highlight w:val="none"/>
          <w14:textFill>
            <w14:solidFill>
              <w14:schemeClr w14:val="tx1"/>
            </w14:solidFill>
          </w14:textFill>
        </w:rPr>
        <w:cr/>
      </w:r>
    </w:p>
    <w:p>
      <w:pPr>
        <w:widowControl/>
        <w:rPr>
          <w:rFonts w:hint="eastAsia" w:ascii="仿宋" w:hAnsi="仿宋" w:eastAsia="仿宋" w:cs="仿宋"/>
          <w:b/>
          <w:bCs/>
          <w:color w:val="000000" w:themeColor="text1"/>
          <w:sz w:val="32"/>
          <w:szCs w:val="32"/>
          <w:highlight w:val="none"/>
          <w14:textFill>
            <w14:solidFill>
              <w14:schemeClr w14:val="tx1"/>
            </w14:solidFill>
          </w14:textFill>
        </w:rPr>
      </w:pPr>
    </w:p>
    <w:p>
      <w:pPr>
        <w:pStyle w:val="27"/>
        <w:rPr>
          <w:rFonts w:hint="eastAsia" w:ascii="仿宋" w:hAnsi="仿宋" w:eastAsia="仿宋" w:cs="仿宋"/>
          <w:b/>
          <w:bCs/>
          <w:color w:val="000000" w:themeColor="text1"/>
          <w:sz w:val="32"/>
          <w:szCs w:val="32"/>
          <w:highlight w:val="none"/>
          <w14:textFill>
            <w14:solidFill>
              <w14:schemeClr w14:val="tx1"/>
            </w14:solidFill>
          </w14:textFill>
        </w:rPr>
      </w:pPr>
    </w:p>
    <w:p>
      <w:pPr>
        <w:pStyle w:val="27"/>
        <w:rPr>
          <w:rFonts w:hint="eastAsia" w:ascii="仿宋" w:hAnsi="仿宋" w:eastAsia="仿宋" w:cs="仿宋"/>
          <w:b/>
          <w:bCs/>
          <w:color w:val="000000" w:themeColor="text1"/>
          <w:sz w:val="32"/>
          <w:szCs w:val="32"/>
          <w:highlight w:val="none"/>
          <w14:textFill>
            <w14:solidFill>
              <w14:schemeClr w14:val="tx1"/>
            </w14:solidFill>
          </w14:textFill>
        </w:rPr>
      </w:pPr>
    </w:p>
    <w:p>
      <w:pPr>
        <w:widowControl/>
        <w:rPr>
          <w:rFonts w:hint="eastAsia" w:ascii="仿宋" w:hAnsi="仿宋" w:eastAsia="仿宋" w:cs="仿宋"/>
          <w:b/>
          <w:bCs/>
          <w:color w:val="000000" w:themeColor="text1"/>
          <w:sz w:val="32"/>
          <w:szCs w:val="32"/>
          <w:highlight w:val="none"/>
          <w14:textFill>
            <w14:solidFill>
              <w14:schemeClr w14:val="tx1"/>
            </w14:solidFill>
          </w14:textFill>
        </w:rPr>
      </w:pPr>
    </w:p>
    <w:p>
      <w:pPr>
        <w:spacing w:line="560" w:lineRule="exact"/>
        <w:ind w:left="1279" w:leftChars="456" w:hanging="321" w:hangingChars="100"/>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项目名称：</w:t>
      </w:r>
      <w:r>
        <w:rPr>
          <w:rFonts w:hint="eastAsia" w:ascii="仿宋" w:hAnsi="仿宋" w:eastAsia="仿宋" w:cs="仿宋"/>
          <w:color w:val="000000" w:themeColor="text1"/>
          <w:sz w:val="32"/>
          <w:szCs w:val="32"/>
          <w:highlight w:val="none"/>
          <w:lang w:val="en-US" w:eastAsia="zh-CN"/>
          <w14:textFill>
            <w14:solidFill>
              <w14:schemeClr w14:val="tx1"/>
            </w14:solidFill>
          </w14:textFill>
        </w:rPr>
        <w:t>威海热电集团有限公司市区公司高压变频器功率单元升级改造项目、博通公司#6炉引风机、一、二次风机变频器升级改造项目</w:t>
      </w:r>
    </w:p>
    <w:p>
      <w:pPr>
        <w:spacing w:line="560" w:lineRule="exact"/>
        <w:ind w:left="2243" w:leftChars="456" w:hanging="1285" w:hangingChars="400"/>
        <w:rPr>
          <w:rFonts w:hint="default" w:ascii="仿宋" w:hAnsi="仿宋" w:eastAsia="仿宋" w:cs="仿宋"/>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招标编号</w:t>
      </w:r>
      <w:r>
        <w:rPr>
          <w:rFonts w:hint="eastAsia" w:ascii="仿宋" w:hAnsi="仿宋" w:eastAsia="仿宋" w:cs="仿宋"/>
          <w:b/>
          <w:bCs/>
          <w:color w:val="000000" w:themeColor="text1"/>
          <w:sz w:val="32"/>
          <w:szCs w:val="32"/>
          <w:highlight w:val="none"/>
          <w14:textFill>
            <w14:solidFill>
              <w14:schemeClr w14:val="tx1"/>
            </w14:solidFill>
          </w14:textFill>
        </w:rPr>
        <w:t>：</w:t>
      </w:r>
      <w:r>
        <w:rPr>
          <w:rFonts w:hint="eastAsia" w:ascii="仿宋" w:hAnsi="仿宋" w:eastAsia="仿宋" w:cs="仿宋"/>
          <w:color w:val="000000" w:themeColor="text1"/>
          <w:sz w:val="32"/>
          <w:szCs w:val="32"/>
          <w:highlight w:val="none"/>
          <w:lang w:val="en-US" w:eastAsia="zh-CN"/>
          <w14:textFill>
            <w14:solidFill>
              <w14:schemeClr w14:val="tx1"/>
            </w14:solidFill>
          </w14:textFill>
        </w:rPr>
        <w:t>2026-025</w:t>
      </w:r>
    </w:p>
    <w:p>
      <w:pPr>
        <w:ind w:left="2518" w:leftChars="1199"/>
        <w:rPr>
          <w:rFonts w:hint="eastAsia" w:ascii="仿宋" w:hAnsi="仿宋" w:eastAsia="仿宋" w:cs="仿宋"/>
          <w:b/>
          <w:bCs/>
          <w:color w:val="000000" w:themeColor="text1"/>
          <w:sz w:val="36"/>
          <w:highlight w:val="none"/>
          <w14:textFill>
            <w14:solidFill>
              <w14:schemeClr w14:val="tx1"/>
            </w14:solidFill>
          </w14:textFill>
        </w:rPr>
      </w:pPr>
      <w:r>
        <w:rPr>
          <w:rFonts w:hint="eastAsia" w:ascii="仿宋" w:hAnsi="仿宋" w:eastAsia="仿宋" w:cs="仿宋"/>
          <w:b/>
          <w:bCs/>
          <w:color w:val="000000" w:themeColor="text1"/>
          <w:sz w:val="36"/>
          <w:highlight w:val="none"/>
          <w14:textFill>
            <w14:solidFill>
              <w14:schemeClr w14:val="tx1"/>
            </w14:solidFill>
          </w14:textFill>
        </w:rPr>
        <w:t xml:space="preserve"> </w:t>
      </w:r>
    </w:p>
    <w:p>
      <w:pPr>
        <w:pStyle w:val="27"/>
        <w:rPr>
          <w:rFonts w:hint="eastAsia" w:ascii="仿宋" w:hAnsi="仿宋" w:eastAsia="仿宋" w:cs="仿宋"/>
          <w:color w:val="000000" w:themeColor="text1"/>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pStyle w:val="12"/>
        <w:rPr>
          <w:rFonts w:hint="eastAsia" w:ascii="仿宋" w:hAnsi="仿宋" w:eastAsia="仿宋" w:cs="仿宋"/>
          <w:color w:val="000000" w:themeColor="text1"/>
          <w:highlight w:val="none"/>
          <w14:textFill>
            <w14:solidFill>
              <w14:schemeClr w14:val="tx1"/>
            </w14:solidFill>
          </w14:textFill>
        </w:rPr>
      </w:pPr>
    </w:p>
    <w:p>
      <w:pPr>
        <w:pStyle w:val="12"/>
        <w:rPr>
          <w:rFonts w:hint="eastAsia" w:ascii="仿宋" w:hAnsi="仿宋" w:eastAsia="仿宋" w:cs="仿宋"/>
          <w:color w:val="000000" w:themeColor="text1"/>
          <w:highlight w:val="none"/>
          <w14:textFill>
            <w14:solidFill>
              <w14:schemeClr w14:val="tx1"/>
            </w14:solidFill>
          </w14:textFill>
        </w:rPr>
      </w:pPr>
    </w:p>
    <w:p>
      <w:pPr>
        <w:pStyle w:val="6"/>
        <w:rPr>
          <w:rFonts w:hint="eastAsia" w:ascii="仿宋" w:hAnsi="仿宋" w:eastAsia="仿宋" w:cs="仿宋"/>
          <w:color w:val="000000" w:themeColor="text1"/>
          <w:highlight w:val="none"/>
          <w14:textFill>
            <w14:solidFill>
              <w14:schemeClr w14:val="tx1"/>
            </w14:solidFill>
          </w14:textFill>
        </w:rPr>
      </w:pPr>
    </w:p>
    <w:p>
      <w:pPr>
        <w:jc w:val="left"/>
        <w:rPr>
          <w:rFonts w:hint="eastAsia" w:ascii="仿宋" w:hAnsi="仿宋" w:eastAsia="仿宋" w:cs="仿宋"/>
          <w:color w:val="000000" w:themeColor="text1"/>
          <w:sz w:val="36"/>
          <w:highlight w:val="none"/>
          <w14:textFill>
            <w14:solidFill>
              <w14:schemeClr w14:val="tx1"/>
            </w14:solidFill>
          </w14:textFill>
        </w:rPr>
      </w:pPr>
    </w:p>
    <w:p>
      <w:pPr>
        <w:pStyle w:val="15"/>
        <w:tabs>
          <w:tab w:val="left" w:pos="580"/>
        </w:tabs>
        <w:jc w:val="center"/>
        <w:rPr>
          <w:rFonts w:hint="eastAsia" w:ascii="仿宋" w:hAnsi="仿宋" w:eastAsia="仿宋" w:cs="仿宋"/>
          <w:color w:val="000000" w:themeColor="text1"/>
          <w:sz w:val="36"/>
          <w:highlight w:val="none"/>
          <w14:textFill>
            <w14:solidFill>
              <w14:schemeClr w14:val="tx1"/>
            </w14:solidFill>
          </w14:textFill>
        </w:rPr>
      </w:pPr>
      <w:r>
        <w:rPr>
          <w:rFonts w:hint="eastAsia" w:ascii="仿宋" w:hAnsi="仿宋" w:eastAsia="仿宋" w:cs="仿宋"/>
          <w:color w:val="000000" w:themeColor="text1"/>
          <w:sz w:val="36"/>
          <w:highlight w:val="none"/>
          <w14:textFill>
            <w14:solidFill>
              <w14:schemeClr w14:val="tx1"/>
            </w14:solidFill>
          </w14:textFill>
        </w:rPr>
        <w:t>投标人名称（盖电子公章）</w:t>
      </w:r>
    </w:p>
    <w:p>
      <w:pPr>
        <w:pStyle w:val="15"/>
        <w:tabs>
          <w:tab w:val="left" w:pos="580"/>
        </w:tabs>
        <w:jc w:val="center"/>
        <w:rPr>
          <w:rFonts w:hint="eastAsia" w:ascii="仿宋" w:hAnsi="仿宋" w:eastAsia="仿宋" w:cs="仿宋"/>
          <w:color w:val="000000" w:themeColor="text1"/>
          <w:sz w:val="36"/>
          <w:highlight w:val="none"/>
          <w14:textFill>
            <w14:solidFill>
              <w14:schemeClr w14:val="tx1"/>
            </w14:solidFill>
          </w14:textFill>
        </w:rPr>
      </w:pPr>
      <w:r>
        <w:rPr>
          <w:rFonts w:hint="eastAsia" w:ascii="仿宋" w:hAnsi="仿宋" w:eastAsia="仿宋" w:cs="仿宋"/>
          <w:color w:val="000000" w:themeColor="text1"/>
          <w:sz w:val="36"/>
          <w:highlight w:val="none"/>
          <w14:textFill>
            <w14:solidFill>
              <w14:schemeClr w14:val="tx1"/>
            </w14:solidFill>
          </w14:textFill>
        </w:rPr>
        <w:t>日期：</w:t>
      </w:r>
      <w:r>
        <w:rPr>
          <w:rFonts w:hint="eastAsia" w:ascii="仿宋" w:hAnsi="仿宋" w:eastAsia="仿宋" w:cs="仿宋"/>
          <w:color w:val="000000" w:themeColor="text1"/>
          <w:sz w:val="36"/>
          <w:highlight w:val="none"/>
          <w:lang w:eastAsia="zh-CN"/>
          <w14:textFill>
            <w14:solidFill>
              <w14:schemeClr w14:val="tx1"/>
            </w14:solidFill>
          </w14:textFill>
        </w:rPr>
        <w:t>2026</w:t>
      </w:r>
      <w:r>
        <w:rPr>
          <w:rFonts w:hint="eastAsia" w:ascii="仿宋" w:hAnsi="仿宋" w:eastAsia="仿宋" w:cs="仿宋"/>
          <w:color w:val="000000" w:themeColor="text1"/>
          <w:sz w:val="36"/>
          <w:highlight w:val="none"/>
          <w14:textFill>
            <w14:solidFill>
              <w14:schemeClr w14:val="tx1"/>
            </w14:solidFill>
          </w14:textFill>
        </w:rPr>
        <w:t>年 月 日</w:t>
      </w:r>
    </w:p>
    <w:p>
      <w:pPr>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color w:val="000000" w:themeColor="text1"/>
          <w:sz w:val="52"/>
          <w:szCs w:val="52"/>
          <w:highlight w:val="none"/>
          <w14:textFill>
            <w14:solidFill>
              <w14:schemeClr w14:val="tx1"/>
            </w14:solidFill>
          </w14:textFill>
        </w:rPr>
      </w:pPr>
      <w:r>
        <w:rPr>
          <w:rFonts w:hint="eastAsia" w:ascii="仿宋" w:hAnsi="仿宋" w:eastAsia="仿宋" w:cs="仿宋"/>
          <w:b/>
          <w:bCs/>
          <w:color w:val="000000" w:themeColor="text1"/>
          <w:sz w:val="52"/>
          <w:szCs w:val="52"/>
          <w:highlight w:val="none"/>
          <w14:textFill>
            <w14:solidFill>
              <w14:schemeClr w14:val="tx1"/>
            </w14:solidFill>
          </w14:textFill>
        </w:rPr>
        <w:t>目  录</w:t>
      </w:r>
    </w:p>
    <w:p>
      <w:pPr>
        <w:widowControl/>
        <w:spacing w:before="60"/>
        <w:ind w:right="30"/>
        <w:jc w:val="center"/>
        <w:rPr>
          <w:rFonts w:hint="eastAsia" w:ascii="仿宋" w:hAnsi="仿宋" w:eastAsia="仿宋" w:cs="仿宋"/>
          <w:b/>
          <w:bCs/>
          <w:color w:val="000000" w:themeColor="text1"/>
          <w:sz w:val="32"/>
          <w:szCs w:val="32"/>
          <w:highlight w:val="none"/>
          <w14:textFill>
            <w14:solidFill>
              <w14:schemeClr w14:val="tx1"/>
            </w14:solidFill>
          </w14:textFill>
        </w:rPr>
      </w:pPr>
    </w:p>
    <w:p>
      <w:pPr>
        <w:widowControl/>
        <w:spacing w:before="60"/>
        <w:ind w:right="30"/>
        <w:jc w:val="center"/>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（由投标人自行编制）</w:t>
      </w:r>
    </w:p>
    <w:p>
      <w:pPr>
        <w:pStyle w:val="6"/>
        <w:rPr>
          <w:rFonts w:hint="eastAsia" w:ascii="仿宋" w:hAnsi="仿宋" w:eastAsia="仿宋" w:cs="仿宋"/>
          <w:color w:val="000000" w:themeColor="text1"/>
          <w:highlight w:val="none"/>
          <w14:textFill>
            <w14:solidFill>
              <w14:schemeClr w14:val="tx1"/>
            </w14:solidFill>
          </w14:textFill>
        </w:rPr>
      </w:pPr>
    </w:p>
    <w:p>
      <w:pPr>
        <w:pStyle w:val="5"/>
        <w:outlineLvl w:val="9"/>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keepNext w:val="0"/>
        <w:keepLines w:val="0"/>
        <w:pageBreakBefore/>
        <w:widowControl w:val="0"/>
        <w:tabs>
          <w:tab w:val="left" w:pos="580"/>
        </w:tabs>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投标承诺函</w:t>
      </w:r>
    </w:p>
    <w:p>
      <w:pPr>
        <w:pStyle w:val="15"/>
        <w:spacing w:line="300" w:lineRule="exact"/>
        <w:ind w:firstLine="600" w:firstLineChars="200"/>
        <w:rPr>
          <w:rFonts w:hint="eastAsia" w:ascii="仿宋" w:hAnsi="仿宋" w:eastAsia="仿宋" w:cs="仿宋"/>
          <w:color w:val="000000" w:themeColor="text1"/>
          <w:sz w:val="30"/>
          <w:szCs w:val="30"/>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80" w:lineRule="exact"/>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威海正华工程咨询有限公司</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我方收到</w:t>
      </w:r>
      <w:r>
        <w:rPr>
          <w:rFonts w:hint="eastAsia" w:ascii="仿宋" w:hAnsi="仿宋" w:eastAsia="仿宋" w:cs="仿宋"/>
          <w:color w:val="000000" w:themeColor="text1"/>
          <w:kern w:val="0"/>
          <w:sz w:val="28"/>
          <w:szCs w:val="28"/>
          <w:highlight w:val="none"/>
          <w:u w:val="single"/>
          <w:lang w:val="en-US" w:eastAsia="zh-CN"/>
          <w14:textFill>
            <w14:solidFill>
              <w14:schemeClr w14:val="tx1"/>
            </w14:solidFill>
          </w14:textFill>
        </w:rPr>
        <w:t>2026-025</w:t>
      </w:r>
      <w:r>
        <w:rPr>
          <w:rFonts w:hint="eastAsia" w:ascii="仿宋" w:hAnsi="仿宋" w:eastAsia="仿宋" w:cs="仿宋"/>
          <w:color w:val="000000" w:themeColor="text1"/>
          <w:sz w:val="28"/>
          <w:szCs w:val="28"/>
          <w:highlight w:val="none"/>
          <w:u w:val="single"/>
          <w14:textFill>
            <w14:solidFill>
              <w14:schemeClr w14:val="tx1"/>
            </w14:solidFill>
          </w14:textFill>
        </w:rPr>
        <w:t>号</w:t>
      </w:r>
      <w:r>
        <w:rPr>
          <w:rFonts w:hint="eastAsia" w:ascii="仿宋" w:hAnsi="仿宋" w:eastAsia="仿宋" w:cs="仿宋"/>
          <w:color w:val="000000" w:themeColor="text1"/>
          <w:sz w:val="28"/>
          <w:szCs w:val="28"/>
          <w:highlight w:val="none"/>
          <w14:textFill>
            <w14:solidFill>
              <w14:schemeClr w14:val="tx1"/>
            </w14:solidFill>
          </w14:textFill>
        </w:rPr>
        <w:t>招标文件，经详细研究，决定参加投标。</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1.</w:t>
      </w:r>
      <w:r>
        <w:rPr>
          <w:rFonts w:hint="eastAsia" w:ascii="仿宋" w:hAnsi="仿宋" w:eastAsia="仿宋" w:cs="仿宋"/>
          <w:color w:val="000000" w:themeColor="text1"/>
          <w:sz w:val="28"/>
          <w:szCs w:val="28"/>
          <w:highlight w:val="none"/>
          <w14:textFill>
            <w14:solidFill>
              <w14:schemeClr w14:val="tx1"/>
            </w14:solidFill>
          </w14:textFill>
        </w:rPr>
        <w:t>我方接受本招标文件中关于电子招投标的各项规定，遵守《中华人民共和国电子签名法》关于电子签名的各项规定。我方愿意按照招标文件的规定和要求提供货物和服务，报价详见《开标一览表》。</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2.</w:t>
      </w:r>
      <w:r>
        <w:rPr>
          <w:rFonts w:hint="eastAsia" w:ascii="仿宋" w:hAnsi="仿宋" w:eastAsia="仿宋" w:cs="仿宋"/>
          <w:color w:val="000000" w:themeColor="text1"/>
          <w:sz w:val="28"/>
          <w:szCs w:val="28"/>
          <w:highlight w:val="none"/>
          <w14:textFill>
            <w14:solidFill>
              <w14:schemeClr w14:val="tx1"/>
            </w14:solidFill>
          </w14:textFill>
        </w:rPr>
        <w:t>我方同意90天的投标有效期，严格遵守投标文件的各项承诺。在此期限届满之前，本投标文件始终对我方具有约束力，并随时接受中标。我方承诺在投标有效期内不修改、撤销投标文件。</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我方愿意遵守招标文件的规定和要求，并提供招标文件中要求的所有资料。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我方同意最低价是中标的主要选择标准，但不是唯一的选择标准。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5.</w:t>
      </w:r>
      <w:r>
        <w:rPr>
          <w:rFonts w:hint="eastAsia" w:ascii="仿宋" w:hAnsi="仿宋" w:eastAsia="仿宋" w:cs="仿宋"/>
          <w:color w:val="000000" w:themeColor="text1"/>
          <w:sz w:val="28"/>
          <w:szCs w:val="28"/>
          <w:highlight w:val="none"/>
          <w14:textFill>
            <w14:solidFill>
              <w14:schemeClr w14:val="tx1"/>
            </w14:solidFill>
          </w14:textFill>
        </w:rPr>
        <w:t>我方愿意按招标文件规定，全额交纳投标保证金。</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6.</w:t>
      </w:r>
      <w:r>
        <w:rPr>
          <w:rFonts w:hint="eastAsia" w:ascii="仿宋" w:hAnsi="仿宋" w:eastAsia="仿宋" w:cs="仿宋"/>
          <w:color w:val="000000" w:themeColor="text1"/>
          <w:sz w:val="28"/>
          <w:szCs w:val="28"/>
          <w:highlight w:val="none"/>
          <w14:textFill>
            <w14:solidFill>
              <w14:schemeClr w14:val="tx1"/>
            </w14:solidFill>
          </w14:textFill>
        </w:rPr>
        <w:t>如果我方中标：</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（1）我方承诺将按照招标文件的规定全额交纳招标代理费；</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（2）我方承诺在中标通知书发出后，在规定期限内与招标人签订合同；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（3）我方承诺在合同约定的期限内，按期、保质、保量完成服务。</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lang w:eastAsia="zh-CN"/>
          <w14:textFill>
            <w14:solidFill>
              <w14:schemeClr w14:val="tx1"/>
            </w14:solidFill>
          </w14:textFill>
        </w:rPr>
        <w:t>7.</w:t>
      </w:r>
      <w:r>
        <w:rPr>
          <w:rFonts w:hint="eastAsia" w:ascii="仿宋" w:hAnsi="仿宋" w:eastAsia="仿宋" w:cs="仿宋"/>
          <w:color w:val="000000" w:themeColor="text1"/>
          <w:sz w:val="28"/>
          <w:szCs w:val="28"/>
          <w:highlight w:val="none"/>
          <w14:textFill>
            <w14:solidFill>
              <w14:schemeClr w14:val="tx1"/>
            </w14:solidFill>
          </w14:textFill>
        </w:rPr>
        <w:t>所有有关本投标的函电，请按下列地址联系：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    位：                     邮政编码：</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    址：                     联 系 人：</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    话：                     传    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开户名称：</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开户银行：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开户</w:t>
      </w:r>
      <w:r>
        <w:rPr>
          <w:rFonts w:hint="eastAsia" w:ascii="仿宋" w:hAnsi="仿宋" w:eastAsia="仿宋" w:cs="仿宋"/>
          <w:color w:val="000000" w:themeColor="text1"/>
          <w:sz w:val="28"/>
          <w:szCs w:val="28"/>
          <w:highlight w:val="none"/>
          <w:lang w:eastAsia="zh-CN"/>
          <w14:textFill>
            <w14:solidFill>
              <w14:schemeClr w14:val="tx1"/>
            </w14:solidFill>
          </w14:textFill>
        </w:rPr>
        <w:t>账号</w:t>
      </w:r>
      <w:r>
        <w:rPr>
          <w:rFonts w:hint="eastAsia" w:ascii="仿宋" w:hAnsi="仿宋" w:eastAsia="仿宋" w:cs="仿宋"/>
          <w:color w:val="000000" w:themeColor="text1"/>
          <w:sz w:val="28"/>
          <w:szCs w:val="28"/>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投标日期：</w:t>
      </w:r>
      <w:r>
        <w:rPr>
          <w:rFonts w:hint="eastAsia" w:ascii="仿宋" w:hAnsi="仿宋" w:eastAsia="仿宋" w:cs="仿宋"/>
          <w:color w:val="000000" w:themeColor="text1"/>
          <w:sz w:val="28"/>
          <w:szCs w:val="28"/>
          <w:highlight w:val="none"/>
          <w:lang w:eastAsia="zh-CN"/>
          <w14:textFill>
            <w14:solidFill>
              <w14:schemeClr w14:val="tx1"/>
            </w14:solidFill>
          </w14:textFill>
        </w:rPr>
        <w:t>2026</w:t>
      </w:r>
      <w:r>
        <w:rPr>
          <w:rFonts w:hint="eastAsia" w:ascii="仿宋" w:hAnsi="仿宋" w:eastAsia="仿宋" w:cs="仿宋"/>
          <w:color w:val="000000" w:themeColor="text1"/>
          <w:sz w:val="28"/>
          <w:szCs w:val="28"/>
          <w:highlight w:val="none"/>
          <w14:textFill>
            <w14:solidFill>
              <w14:schemeClr w14:val="tx1"/>
            </w14:solidFill>
          </w14:textFill>
        </w:rPr>
        <w:t>年 月</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日 </w:t>
      </w:r>
    </w:p>
    <w:p>
      <w:pPr>
        <w:keepNext w:val="0"/>
        <w:keepLines w:val="0"/>
        <w:pageBreakBefore/>
        <w:widowControl w:val="0"/>
        <w:kinsoku/>
        <w:wordWrap/>
        <w:overflowPunct/>
        <w:topLinePunct w:val="0"/>
        <w:autoSpaceDE/>
        <w:autoSpaceDN/>
        <w:bidi w:val="0"/>
        <w:adjustRightInd/>
        <w:snapToGrid/>
        <w:spacing w:line="520" w:lineRule="exact"/>
        <w:ind w:firstLine="3253" w:firstLineChars="9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投标人信用承诺书</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为营造公平竞争、规范有序的市场环境，树立诚信守法经营形象。本单位郑重承诺：</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二、我方在本次投标活动中绝无资质挂靠、串标、围标情形，若经贵方查出，立即取消我方投标资格并承担相应的法律责任。</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三、我方在以往的招标投标活动中，无重大违法、违规的不良记录；或虽有不良记录，但已超过处理期限。</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四、我方承诺：我方（含法定代表人、委托代理人及拟派项目经理）近三年内无行贿犯罪记录。如有不实，愿意承担一切后果。</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五、我方拟派本</w:t>
      </w:r>
      <w:r>
        <w:rPr>
          <w:rFonts w:hint="eastAsia" w:ascii="仿宋" w:hAnsi="仿宋" w:eastAsia="仿宋" w:cs="仿宋"/>
          <w:color w:val="000000" w:themeColor="text1"/>
          <w:sz w:val="28"/>
          <w:szCs w:val="28"/>
          <w:highlight w:val="none"/>
          <w:lang w:val="en-US" w:eastAsia="zh-CN"/>
          <w14:textFill>
            <w14:solidFill>
              <w14:schemeClr w14:val="tx1"/>
            </w14:solidFill>
          </w14:textFill>
        </w:rPr>
        <w:t>项目的</w:t>
      </w:r>
      <w:r>
        <w:rPr>
          <w:rFonts w:hint="eastAsia" w:ascii="仿宋" w:hAnsi="仿宋" w:eastAsia="仿宋" w:cs="仿宋"/>
          <w:color w:val="000000" w:themeColor="text1"/>
          <w:sz w:val="28"/>
          <w:szCs w:val="28"/>
          <w:highlight w:val="none"/>
          <w14:textFill>
            <w14:solidFill>
              <w14:schemeClr w14:val="tx1"/>
            </w14:solidFill>
          </w14:textFill>
        </w:rPr>
        <w:t>项目</w:t>
      </w:r>
      <w:r>
        <w:rPr>
          <w:rFonts w:hint="eastAsia" w:ascii="仿宋" w:hAnsi="仿宋" w:eastAsia="仿宋" w:cs="仿宋"/>
          <w:color w:val="000000" w:themeColor="text1"/>
          <w:sz w:val="28"/>
          <w:szCs w:val="28"/>
          <w:highlight w:val="none"/>
          <w:lang w:val="en-US" w:eastAsia="zh-CN"/>
          <w14:textFill>
            <w14:solidFill>
              <w14:schemeClr w14:val="tx1"/>
            </w14:solidFill>
          </w14:textFill>
        </w:rPr>
        <w:t>负责人</w:t>
      </w:r>
      <w:r>
        <w:rPr>
          <w:rFonts w:hint="eastAsia" w:ascii="仿宋" w:hAnsi="仿宋" w:eastAsia="仿宋" w:cs="仿宋"/>
          <w:color w:val="000000" w:themeColor="text1"/>
          <w:sz w:val="28"/>
          <w:szCs w:val="28"/>
          <w:highlight w:val="none"/>
          <w14:textFill>
            <w14:solidFill>
              <w14:schemeClr w14:val="tx1"/>
            </w14:solidFill>
          </w14:textFill>
        </w:rPr>
        <w:t xml:space="preserve">，现阶段没有担任其他在建、排名第一的中标候选人或中标工程项目的项目经理（项目负责人）。 </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六、我方一旦中标，将按规定及时与招标人签订合同，严格按照投标文件中所承诺的报价、质量、工期、投标方案、项目经理等内容组织实施。</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七、自觉接受社会各界的监督，依法接受有关行政机关的事中事后监管和执法检查，并如实提供有关情况和材料。</w:t>
      </w:r>
    </w:p>
    <w:p>
      <w:pPr>
        <w:pStyle w:val="15"/>
        <w:spacing w:line="500" w:lineRule="exact"/>
        <w:ind w:firstLine="560" w:firstLineChars="200"/>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八、严格遵守国家法律、法规、规章和相关政策规定，积极参与社会信用体系建设，倡树以信笃行，以诚兴业的传统美德，争当信用市民，争创信用企业。</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九、本《信用承诺书》同意向社会公开。</w:t>
      </w:r>
    </w:p>
    <w:p>
      <w:pPr>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承诺单位（盖电子公章）：</w:t>
      </w:r>
    </w:p>
    <w:p>
      <w:pPr>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承诺日期：    年   月   日</w:t>
      </w:r>
    </w:p>
    <w:p>
      <w:pPr>
        <w:spacing w:line="520" w:lineRule="exact"/>
        <w:jc w:val="both"/>
        <w:rPr>
          <w:rFonts w:hint="eastAsia" w:ascii="仿宋" w:hAnsi="仿宋" w:eastAsia="仿宋" w:cs="仿宋"/>
          <w:b/>
          <w:bCs/>
          <w:color w:val="000000" w:themeColor="text1"/>
          <w:sz w:val="28"/>
          <w:szCs w:val="28"/>
          <w:highlight w:val="none"/>
          <w14:textFill>
            <w14:solidFill>
              <w14:schemeClr w14:val="tx1"/>
            </w14:solidFill>
          </w14:textFill>
        </w:rPr>
      </w:pPr>
    </w:p>
    <w:p>
      <w:pPr>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投标人廉洁守信承诺书</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本单位决定参加</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项目投标。为有效遏制不公平竞争和违规违纪问题的发生，确保招标工作的公平、公正、公开，我们保证严格遵守《中华人民共和国招标投标法》及有关廉洁要求，特向贵公司承诺如下事项：</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1.自觉遵守国家法律法规及有关廉政建设制度。</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2.主动了解威海热电集团公司招投标纪律，积极配合威海热电集团有限公司执行招投标廉政建设的有关规定。</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3.严格按照招标文件规定的方式进行投标，不借用其他单位资质，不隐瞒本单位投标资质的真实情况，投标资质符合规定。</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4.不提供其他虚假材料，或以其他方式弄虚作假骗取中标。</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5.不使用不正当手段妨碍、排挤其它投标单位或串通投标。</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6.中标后不将项目转包，或违法分包。</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不以任何方式向招标单位任何人员赠送礼品、礼金及有价证券；不宴请或邀请招标单位任何人员参加高档娱乐消费、旅游、考察、参观等活动；不以任何形式报销招标单位任何人员以及亲友的各种票据及费用；不进行可能影响招投标公平、公正的任何活动。</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8.不向招标单位及个人支付好处费、介绍费。 </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9.一旦发现相关人员在招标过程中有索要财物等不廉洁行为，坚决予以抵制，并及时向威海热电集团公司纪检监察机构举报。（受理举报邮箱：whrdjw@163.com，举报电话：5196093）</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10.自觉接受有关部门监督，积极配合招标单位加强廉洁从业宣传，加强对投标人员的廉洁教育。</w:t>
      </w:r>
    </w:p>
    <w:p>
      <w:pPr>
        <w:spacing w:line="460" w:lineRule="exact"/>
        <w:ind w:firstLine="574" w:firstLineChars="20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上述承诺如有违反，愿接受取消投标资格及其它任何形式的处理；构成违纪违法的，由相关部门依纪依法作出处理。</w:t>
      </w:r>
    </w:p>
    <w:p>
      <w:pPr>
        <w:spacing w:line="46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spacing w:line="46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承诺单位（盖电子公章）：</w:t>
      </w:r>
    </w:p>
    <w:p>
      <w:pPr>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pStyle w:val="15"/>
        <w:ind w:firstLine="560" w:firstLineChars="200"/>
        <w:jc w:val="both"/>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承诺日期：    年   月   日 </w:t>
      </w:r>
    </w:p>
    <w:p>
      <w:pPr>
        <w:rPr>
          <w:rFonts w:hint="eastAsia" w:ascii="仿宋" w:hAnsi="仿宋" w:eastAsia="仿宋" w:cs="仿宋"/>
          <w:color w:val="000000" w:themeColor="text1"/>
          <w:sz w:val="28"/>
          <w:szCs w:val="28"/>
          <w:highlight w:val="none"/>
          <w14:textFill>
            <w14:solidFill>
              <w14:schemeClr w14:val="tx1"/>
            </w14:solidFill>
          </w14:textFill>
        </w:rPr>
      </w:pPr>
    </w:p>
    <w:p>
      <w:pPr>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default"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lang w:val="en-US" w:eastAsia="zh-CN"/>
          <w14:textFill>
            <w14:solidFill>
              <w14:schemeClr w14:val="tx1"/>
            </w14:solidFill>
          </w14:textFill>
        </w:rPr>
        <w:t>关于关联单位的</w:t>
      </w:r>
      <w:r>
        <w:rPr>
          <w:rFonts w:hint="eastAsia" w:ascii="仿宋" w:hAnsi="仿宋" w:eastAsia="仿宋" w:cs="仿宋"/>
          <w:b/>
          <w:color w:val="000000" w:themeColor="text1"/>
          <w:sz w:val="36"/>
          <w:szCs w:val="36"/>
          <w:highlight w:val="none"/>
          <w14:textFill>
            <w14:solidFill>
              <w14:schemeClr w14:val="tx1"/>
            </w14:solidFill>
          </w14:textFill>
        </w:rPr>
        <w:t>声明函</w:t>
      </w:r>
    </w:p>
    <w:p>
      <w:pPr>
        <w:shd w:val="clear" w:color="auto" w:fill="auto"/>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致        ：</w:t>
      </w: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我公司参与本项目采购活动，遵守</w:t>
      </w:r>
      <w:r>
        <w:rPr>
          <w:rFonts w:hint="eastAsia" w:ascii="仿宋" w:hAnsi="仿宋" w:eastAsia="仿宋" w:cs="仿宋"/>
          <w:color w:val="000000" w:themeColor="text1"/>
          <w:sz w:val="28"/>
          <w:szCs w:val="28"/>
          <w:highlight w:val="none"/>
          <w:lang w:val="en-US" w:eastAsia="zh-CN"/>
          <w14:textFill>
            <w14:solidFill>
              <w14:schemeClr w14:val="tx1"/>
            </w14:solidFill>
          </w14:textFill>
        </w:rPr>
        <w:t>招标文件</w:t>
      </w:r>
      <w:r>
        <w:rPr>
          <w:rFonts w:hint="eastAsia" w:ascii="仿宋" w:hAnsi="仿宋" w:eastAsia="仿宋" w:cs="仿宋"/>
          <w:color w:val="000000" w:themeColor="text1"/>
          <w:sz w:val="28"/>
          <w:szCs w:val="28"/>
          <w:highlight w:val="none"/>
          <w14:textFill>
            <w14:solidFill>
              <w14:schemeClr w14:val="tx1"/>
            </w14:solidFill>
          </w14:textFill>
        </w:rPr>
        <w:t>有关“法定代表人为同一个人的两个及两个以上法人、母公司、全资子公司及其控股公司，只能有一家单位参加投标</w:t>
      </w:r>
      <w:r>
        <w:rPr>
          <w:rFonts w:hint="eastAsia" w:ascii="仿宋" w:hAnsi="仿宋" w:eastAsia="仿宋" w:cs="仿宋"/>
          <w:color w:val="000000" w:themeColor="text1"/>
          <w:sz w:val="28"/>
          <w:szCs w:val="28"/>
          <w:highlight w:val="none"/>
          <w:lang w:val="en-US" w:eastAsia="zh-CN"/>
          <w14:textFill>
            <w14:solidFill>
              <w14:schemeClr w14:val="tx1"/>
            </w14:solidFill>
          </w14:textFill>
        </w:rPr>
        <w:t>”的规定。</w:t>
      </w: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关联单位的说明：</w:t>
      </w: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1.与我公司</w:t>
      </w:r>
      <w:r>
        <w:rPr>
          <w:rFonts w:hint="eastAsia" w:ascii="仿宋" w:hAnsi="仿宋" w:eastAsia="仿宋" w:cs="仿宋"/>
          <w:color w:val="000000" w:themeColor="text1"/>
          <w:sz w:val="28"/>
          <w:szCs w:val="28"/>
          <w:highlight w:val="none"/>
          <w:lang w:val="en-US" w:eastAsia="zh-CN"/>
          <w14:textFill>
            <w14:solidFill>
              <w14:schemeClr w14:val="tx1"/>
            </w14:solidFill>
          </w14:textFill>
        </w:rPr>
        <w:t>法定代表</w:t>
      </w:r>
      <w:r>
        <w:rPr>
          <w:rFonts w:hint="eastAsia" w:ascii="仿宋" w:hAnsi="仿宋" w:eastAsia="仿宋" w:cs="仿宋"/>
          <w:color w:val="000000" w:themeColor="text1"/>
          <w:sz w:val="28"/>
          <w:szCs w:val="28"/>
          <w:highlight w:val="none"/>
          <w14:textFill>
            <w14:solidFill>
              <w14:schemeClr w14:val="tx1"/>
            </w14:solidFill>
          </w14:textFill>
        </w:rPr>
        <w:t>人为同一人的其他单位为：</w:t>
      </w:r>
    </w:p>
    <w:p>
      <w:pPr>
        <w:shd w:val="clear" w:color="auto" w:fill="auto"/>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2.与我公司存在直接控股、管理关系的其他单位为：</w:t>
      </w: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spacing w:line="360" w:lineRule="auto"/>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以上声明完全属实，如有瞒报、虚报，我公司自行承担因此产生的所有法律责任。</w:t>
      </w:r>
    </w:p>
    <w:p>
      <w:pPr>
        <w:shd w:val="clear" w:color="auto" w:fill="auto"/>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left"/>
        <w:rPr>
          <w:rFonts w:hint="eastAsia" w:ascii="仿宋" w:hAnsi="仿宋" w:eastAsia="仿宋" w:cs="仿宋"/>
          <w:color w:val="000000" w:themeColor="text1"/>
          <w:sz w:val="28"/>
          <w:szCs w:val="28"/>
          <w:highlight w:val="none"/>
          <w14:textFill>
            <w14:solidFill>
              <w14:schemeClr w14:val="tx1"/>
            </w14:solidFill>
          </w14:textFill>
        </w:rPr>
      </w:pPr>
    </w:p>
    <w:p>
      <w:pPr>
        <w:spacing w:after="312" w:afterLines="100" w:line="400" w:lineRule="exact"/>
        <w:rPr>
          <w:rFonts w:hint="eastAsia" w:ascii="仿宋" w:hAnsi="仿宋" w:eastAsia="仿宋" w:cs="仿宋"/>
          <w:color w:val="000000" w:themeColor="text1"/>
          <w:szCs w:val="21"/>
          <w:highlight w:val="none"/>
          <w14:textFill>
            <w14:solidFill>
              <w14:schemeClr w14:val="tx1"/>
            </w14:solidFill>
          </w14:textFill>
        </w:rPr>
      </w:pP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pStyle w:val="15"/>
        <w:keepNext w:val="0"/>
        <w:keepLines w:val="0"/>
        <w:pageBreakBefore/>
        <w:widowControl w:val="0"/>
        <w:kinsoku/>
        <w:wordWrap/>
        <w:overflowPunct/>
        <w:topLinePunct w:val="0"/>
        <w:autoSpaceDE/>
        <w:autoSpaceDN/>
        <w:bidi w:val="0"/>
        <w:adjustRightInd/>
        <w:snapToGrid/>
        <w:jc w:val="center"/>
        <w:textAlignment w:val="auto"/>
        <w:rPr>
          <w:rFonts w:hint="eastAsia" w:ascii="仿宋" w:hAnsi="仿宋" w:eastAsia="仿宋" w:cs="仿宋"/>
          <w:b/>
          <w:bCs/>
          <w:color w:val="000000" w:themeColor="text1"/>
          <w:sz w:val="36"/>
          <w:highlight w:val="none"/>
          <w14:textFill>
            <w14:solidFill>
              <w14:schemeClr w14:val="tx1"/>
            </w14:solidFill>
          </w14:textFill>
        </w:rPr>
      </w:pPr>
      <w:r>
        <w:rPr>
          <w:rFonts w:hint="eastAsia" w:ascii="仿宋" w:hAnsi="仿宋" w:eastAsia="仿宋" w:cs="仿宋"/>
          <w:b/>
          <w:bCs/>
          <w:color w:val="000000" w:themeColor="text1"/>
          <w:sz w:val="36"/>
          <w:highlight w:val="none"/>
          <w14:textFill>
            <w14:solidFill>
              <w14:schemeClr w14:val="tx1"/>
            </w14:solidFill>
          </w14:textFill>
        </w:rPr>
        <w:t>开  标  一  览  表</w:t>
      </w:r>
    </w:p>
    <w:p>
      <w:pPr>
        <w:pStyle w:val="15"/>
        <w:spacing w:line="300" w:lineRule="exact"/>
        <w:rPr>
          <w:rFonts w:hint="eastAsia" w:ascii="仿宋" w:hAnsi="仿宋" w:eastAsia="仿宋" w:cs="仿宋"/>
          <w:color w:val="000000" w:themeColor="text1"/>
          <w:sz w:val="30"/>
          <w:szCs w:val="30"/>
          <w:highlight w:val="none"/>
          <w14:textFill>
            <w14:solidFill>
              <w14:schemeClr w14:val="tx1"/>
            </w14:solidFill>
          </w14:textFill>
        </w:rPr>
      </w:pPr>
    </w:p>
    <w:tbl>
      <w:tblPr>
        <w:tblStyle w:val="32"/>
        <w:tblW w:w="903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9"/>
        <w:gridCol w:w="712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67" w:hRule="atLeast"/>
          <w:jc w:val="center"/>
        </w:trPr>
        <w:tc>
          <w:tcPr>
            <w:tcW w:w="1909" w:type="dxa"/>
            <w:tcBorders>
              <w:top w:val="single" w:color="auto" w:sz="4" w:space="0"/>
              <w:left w:val="single" w:color="auto" w:sz="4" w:space="0"/>
              <w:bottom w:val="single" w:color="auto" w:sz="4" w:space="0"/>
              <w:right w:val="single" w:color="auto" w:sz="4" w:space="0"/>
            </w:tcBorders>
            <w:shd w:val="clear" w:color="auto" w:fill="FEFEFE"/>
            <w:vAlign w:val="center"/>
          </w:tcPr>
          <w:p>
            <w:pPr>
              <w:keepNext w:val="0"/>
              <w:keepLines w:val="0"/>
              <w:suppressLineNumbers w:val="0"/>
              <w:adjustRightInd w:val="0"/>
              <w:snapToGrid w:val="0"/>
              <w:spacing w:before="0" w:beforeAutospacing="0" w:after="0" w:afterAutospacing="0" w:line="300" w:lineRule="exact"/>
              <w:ind w:left="0" w:right="0"/>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项目</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名称</w:t>
            </w:r>
          </w:p>
        </w:tc>
        <w:tc>
          <w:tcPr>
            <w:tcW w:w="7126" w:type="dxa"/>
            <w:tcBorders>
              <w:top w:val="single" w:color="auto" w:sz="4" w:space="0"/>
              <w:left w:val="single" w:color="auto" w:sz="4" w:space="0"/>
              <w:bottom w:val="single" w:color="auto" w:sz="4" w:space="0"/>
              <w:right w:val="single" w:color="auto" w:sz="4" w:space="0"/>
            </w:tcBorders>
            <w:shd w:val="clear" w:color="auto" w:fill="FEFEFE"/>
            <w:vAlign w:val="center"/>
          </w:tcPr>
          <w:p>
            <w:pPr>
              <w:keepNext w:val="0"/>
              <w:keepLines w:val="0"/>
              <w:widowControl/>
              <w:suppressLineNumbers w:val="0"/>
              <w:adjustRightInd w:val="0"/>
              <w:snapToGrid w:val="0"/>
              <w:spacing w:before="0" w:beforeAutospacing="0" w:after="0" w:afterAutospacing="0" w:line="300" w:lineRule="exact"/>
              <w:ind w:left="0" w:right="0"/>
              <w:jc w:val="center"/>
              <w:rPr>
                <w:rFonts w:hint="eastAsia" w:ascii="仿宋" w:hAnsi="仿宋" w:eastAsia="仿宋" w:cs="仿宋"/>
                <w:b/>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威海热电集团有限公司市区公司高压变频器功率单元升级改造项目、博通公司#6炉引风机、一、二次风机变频器升级改造项目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198" w:hRule="atLeast"/>
          <w:jc w:val="center"/>
        </w:trPr>
        <w:tc>
          <w:tcPr>
            <w:tcW w:w="1909"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总报价（元）</w:t>
            </w:r>
          </w:p>
        </w:tc>
        <w:tc>
          <w:tcPr>
            <w:tcW w:w="7126"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suppressLineNumbers w:val="0"/>
              <w:spacing w:before="0" w:beforeAutospacing="0" w:after="0" w:afterAutospacing="0" w:line="440" w:lineRule="exact"/>
              <w:ind w:left="0" w:right="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（大写）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p>
            <w:pPr>
              <w:pStyle w:val="27"/>
              <w:keepNext w:val="0"/>
              <w:keepLines w:val="0"/>
              <w:suppressLineNumbers w:val="0"/>
              <w:spacing w:before="0" w:beforeAutospacing="0" w:after="0" w:afterAutospacing="0"/>
              <w:ind w:left="0" w:right="0"/>
              <w:rPr>
                <w:rFonts w:hint="eastAsia" w:ascii="仿宋" w:hAnsi="仿宋" w:eastAsia="仿宋" w:cs="仿宋"/>
                <w:color w:val="000000" w:themeColor="text1"/>
                <w:sz w:val="24"/>
                <w:szCs w:val="24"/>
                <w:highlight w:val="none"/>
                <w14:textFill>
                  <w14:solidFill>
                    <w14:schemeClr w14:val="tx1"/>
                  </w14:solidFill>
                </w14:textFill>
              </w:rPr>
            </w:pPr>
          </w:p>
          <w:p>
            <w:pPr>
              <w:keepNext w:val="0"/>
              <w:keepLines w:val="0"/>
              <w:suppressLineNumbers w:val="0"/>
              <w:spacing w:before="0" w:beforeAutospacing="0" w:after="0" w:afterAutospacing="0" w:line="300" w:lineRule="exact"/>
              <w:ind w:left="0" w:right="-1" w:rightChars="0"/>
              <w:jc w:val="both"/>
              <w:rPr>
                <w:rFonts w:hint="eastAsia" w:ascii="仿宋" w:hAnsi="仿宋" w:eastAsia="仿宋" w:cs="仿宋"/>
                <w:color w:val="000000" w:themeColor="text1"/>
                <w:kern w:val="2"/>
                <w:sz w:val="24"/>
                <w:szCs w:val="24"/>
                <w:highlight w:val="none"/>
                <w:u w:val="single"/>
                <w:lang w:val="en-US" w:eastAsia="zh-CN" w:bidi="ar-SA"/>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（小写）</w:t>
            </w:r>
            <w:r>
              <w:rPr>
                <w:rFonts w:hint="eastAsia" w:ascii="仿宋" w:hAnsi="仿宋" w:eastAsia="仿宋" w:cs="仿宋"/>
                <w:color w:val="000000" w:themeColor="text1"/>
                <w:sz w:val="24"/>
                <w:szCs w:val="24"/>
                <w:highlight w:val="none"/>
                <w:u w:val="single"/>
                <w14:textFill>
                  <w14:solidFill>
                    <w14:schemeClr w14:val="tx1"/>
                  </w14:solidFill>
                </w14:textFill>
              </w:rPr>
              <w:t xml:space="preserve">             </w:t>
            </w:r>
            <w:r>
              <w:rPr>
                <w:rFonts w:hint="eastAsia" w:ascii="仿宋" w:hAnsi="仿宋" w:eastAsia="仿宋" w:cs="仿宋"/>
                <w:color w:val="000000" w:themeColor="text1"/>
                <w:sz w:val="24"/>
                <w:szCs w:val="24"/>
                <w:highlight w:val="none"/>
                <w14:textFill>
                  <w14:solidFill>
                    <w14:schemeClr w14:val="tx1"/>
                  </w14:solidFill>
                </w14:textFill>
              </w:rPr>
              <w:t>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38" w:hRule="atLeast"/>
          <w:jc w:val="center"/>
        </w:trPr>
        <w:tc>
          <w:tcPr>
            <w:tcW w:w="1909"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供货周期</w:t>
            </w:r>
          </w:p>
        </w:tc>
        <w:tc>
          <w:tcPr>
            <w:tcW w:w="7126"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suppressLineNumbers w:val="0"/>
              <w:spacing w:before="0" w:beforeAutospacing="0" w:after="0" w:afterAutospacing="0" w:line="300" w:lineRule="exact"/>
              <w:ind w:left="0" w:right="-1" w:rightChars="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市区公司：</w:t>
            </w:r>
            <w:r>
              <w:rPr>
                <w:rFonts w:hint="eastAsia" w:ascii="仿宋" w:hAnsi="仿宋" w:eastAsia="仿宋" w:cs="仿宋"/>
                <w:sz w:val="24"/>
                <w:szCs w:val="24"/>
                <w:highlight w:val="none"/>
                <w:lang w:eastAsia="zh-CN"/>
              </w:rPr>
              <w:t>合同签订后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天内到货，项目安装应根据甲方实际生产情况决定，自具备施工条件之日起，全部工作须在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日内完成。</w:t>
            </w:r>
          </w:p>
          <w:p>
            <w:pPr>
              <w:keepNext w:val="0"/>
              <w:keepLines w:val="0"/>
              <w:suppressLineNumbers w:val="0"/>
              <w:spacing w:before="0" w:beforeAutospacing="0" w:after="0" w:afterAutospacing="0" w:line="300" w:lineRule="exact"/>
              <w:ind w:left="0" w:right="-1" w:rightChars="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博通公司：</w:t>
            </w:r>
            <w:r>
              <w:rPr>
                <w:rFonts w:hint="eastAsia" w:ascii="仿宋" w:hAnsi="仿宋" w:eastAsia="仿宋" w:cs="仿宋"/>
                <w:sz w:val="24"/>
                <w:szCs w:val="24"/>
                <w:highlight w:val="none"/>
                <w:lang w:eastAsia="zh-CN"/>
              </w:rPr>
              <w:t>合同签订后</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天内到货，项目安装应根据甲方实际生产情况决定，自具备施工条件之日起，全部工作须在</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日内完成。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38" w:hRule="atLeast"/>
          <w:jc w:val="center"/>
        </w:trPr>
        <w:tc>
          <w:tcPr>
            <w:tcW w:w="1909"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0"/>
              <w:jc w:val="center"/>
              <w:rPr>
                <w:rFonts w:hint="default"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质保期</w:t>
            </w:r>
          </w:p>
        </w:tc>
        <w:tc>
          <w:tcPr>
            <w:tcW w:w="7126"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市区公司：设备投运后</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年。</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博通公司：1.整机质保</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年，自设备最终验收合格之日起。</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2.关键部件功率单元、IGBT、主控板：同整机质保。</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冷却风机、继电器、接触器、风扇：</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年</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电解电容：</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none"/>
                <w:lang w:val="en-US" w:eastAsia="zh-CN"/>
                <w14:textFill>
                  <w14:solidFill>
                    <w14:schemeClr w14:val="tx1"/>
                  </w14:solidFill>
                </w14:textFill>
              </w:rPr>
              <w:t>年</w:t>
            </w:r>
            <w:r>
              <w:rPr>
                <w:rFonts w:hint="eastAsia" w:ascii="仿宋" w:hAnsi="仿宋" w:eastAsia="仿宋" w:cs="仿宋"/>
                <w:color w:val="000000" w:themeColor="text1"/>
                <w:sz w:val="24"/>
                <w:szCs w:val="24"/>
                <w:highlight w:val="none"/>
                <w:lang w:val="en-US" w:eastAsia="zh-CN"/>
                <w14:textFill>
                  <w14:solidFill>
                    <w14:schemeClr w14:val="tx1"/>
                  </w14:solidFill>
                </w14:textFill>
              </w:rPr>
              <w:t>。</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软件：终身免费升级 / 维护。</w:t>
            </w:r>
          </w:p>
          <w:p>
            <w:pPr>
              <w:keepNext w:val="0"/>
              <w:keepLines w:val="0"/>
              <w:widowControl/>
              <w:suppressLineNumbers w:val="0"/>
              <w:spacing w:before="0" w:beforeAutospacing="0" w:after="0" w:afterAutospacing="0"/>
              <w:ind w:left="0" w:right="0"/>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3.设计寿命：整机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年；MTBF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lang w:val="en-US" w:eastAsia="zh-CN"/>
                <w14:textFill>
                  <w14:solidFill>
                    <w14:schemeClr w14:val="tx1"/>
                  </w14:solidFill>
                </w14:textFill>
              </w:rPr>
              <w:t>小时。</w:t>
            </w:r>
          </w:p>
          <w:p>
            <w:pPr>
              <w:keepNext w:val="0"/>
              <w:keepLines w:val="0"/>
              <w:suppressLineNumbers w:val="0"/>
              <w:spacing w:before="0" w:beforeAutospacing="0" w:after="0" w:afterAutospacing="0" w:line="300" w:lineRule="exact"/>
              <w:ind w:left="0" w:right="-1"/>
              <w:jc w:val="cente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058" w:hRule="atLeast"/>
          <w:jc w:val="center"/>
        </w:trPr>
        <w:tc>
          <w:tcPr>
            <w:tcW w:w="1909"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对</w:t>
            </w:r>
            <w:r>
              <w:rPr>
                <w:rFonts w:hint="eastAsia" w:ascii="仿宋" w:hAnsi="仿宋" w:eastAsia="仿宋" w:cs="仿宋"/>
                <w:color w:val="000000" w:themeColor="text1"/>
                <w:sz w:val="24"/>
                <w:szCs w:val="24"/>
                <w:highlight w:val="none"/>
                <w:lang w:eastAsia="zh-CN"/>
                <w14:textFill>
                  <w14:solidFill>
                    <w14:schemeClr w14:val="tx1"/>
                  </w14:solidFill>
                </w14:textFill>
              </w:rPr>
              <w:t>招标</w:t>
            </w:r>
            <w:r>
              <w:rPr>
                <w:rFonts w:hint="eastAsia" w:ascii="仿宋" w:hAnsi="仿宋" w:eastAsia="仿宋" w:cs="仿宋"/>
                <w:color w:val="000000" w:themeColor="text1"/>
                <w:sz w:val="24"/>
                <w:szCs w:val="24"/>
                <w:highlight w:val="none"/>
                <w14:textFill>
                  <w14:solidFill>
                    <w14:schemeClr w14:val="tx1"/>
                  </w14:solidFill>
                </w14:textFill>
              </w:rPr>
              <w:t>文件的认同程度</w:t>
            </w:r>
          </w:p>
        </w:tc>
        <w:tc>
          <w:tcPr>
            <w:tcW w:w="7126" w:type="dxa"/>
            <w:tcBorders>
              <w:top w:val="single" w:color="auto" w:sz="4" w:space="0"/>
              <w:left w:val="single" w:color="auto" w:sz="4" w:space="0"/>
              <w:bottom w:val="single" w:color="auto" w:sz="4" w:space="0"/>
              <w:right w:val="single" w:color="auto" w:sz="4" w:space="0"/>
            </w:tcBorders>
            <w:shd w:val="clear" w:color="auto" w:fill="EBEBEB"/>
            <w:vAlign w:val="center"/>
          </w:tcPr>
          <w:p>
            <w:pPr>
              <w:keepNext w:val="0"/>
              <w:keepLines w:val="0"/>
              <w:suppressLineNumbers w:val="0"/>
              <w:spacing w:before="0" w:beforeAutospacing="0" w:after="0" w:afterAutospacing="0" w:line="300" w:lineRule="exact"/>
              <w:ind w:left="0" w:right="-1"/>
              <w:jc w:val="cente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pP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  （</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sym w:font="Wingdings" w:char="00FE"/>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是/</w:t>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sym w:font="Wingdings" w:char="00A8"/>
            </w:r>
            <w:r>
              <w:rPr>
                <w:rFonts w:hint="eastAsia" w:ascii="仿宋" w:hAnsi="仿宋" w:eastAsia="仿宋" w:cs="仿宋"/>
                <w:color w:val="000000" w:themeColor="text1"/>
                <w:sz w:val="24"/>
                <w:szCs w:val="24"/>
                <w:highlight w:val="none"/>
                <w:u w:val="single"/>
                <w:lang w:val="en-US" w:eastAsia="zh-CN"/>
                <w14:textFill>
                  <w14:solidFill>
                    <w14:schemeClr w14:val="tx1"/>
                  </w14:solidFill>
                </w14:textFill>
              </w:rPr>
              <w:t xml:space="preserve">否） </w:t>
            </w:r>
            <w:r>
              <w:rPr>
                <w:rFonts w:hint="eastAsia" w:ascii="仿宋" w:hAnsi="仿宋" w:eastAsia="仿宋" w:cs="仿宋"/>
                <w:color w:val="000000" w:themeColor="text1"/>
                <w:sz w:val="24"/>
                <w:szCs w:val="24"/>
                <w:highlight w:val="none"/>
                <w:lang w:val="en-US" w:eastAsia="zh-CN"/>
                <w14:textFill>
                  <w14:solidFill>
                    <w14:schemeClr w14:val="tx1"/>
                  </w14:solidFill>
                </w14:textFill>
              </w:rPr>
              <w:t>认可招标文件给定的付款条件等实质性要求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22" w:hRule="atLeast"/>
          <w:jc w:val="center"/>
        </w:trPr>
        <w:tc>
          <w:tcPr>
            <w:tcW w:w="9035" w:type="dxa"/>
            <w:gridSpan w:val="2"/>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suppressLineNumbers w:val="0"/>
              <w:spacing w:before="0" w:beforeAutospacing="0" w:after="0" w:afterAutospacing="0" w:line="300" w:lineRule="exact"/>
              <w:ind w:left="0" w:right="-1"/>
              <w:jc w:val="left"/>
              <w:rPr>
                <w:rFonts w:hint="eastAsia" w:ascii="仿宋" w:hAnsi="仿宋" w:eastAsia="仿宋" w:cs="仿宋"/>
                <w:color w:val="000000" w:themeColor="text1"/>
                <w:sz w:val="24"/>
                <w:szCs w:val="24"/>
                <w:highlight w:val="none"/>
                <w:lang w:val="en-US" w:eastAsia="zh-CN"/>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报价说明：</w:t>
            </w:r>
          </w:p>
        </w:tc>
      </w:tr>
    </w:tbl>
    <w:p>
      <w:pPr>
        <w:spacing w:line="240" w:lineRule="exact"/>
        <w:rPr>
          <w:rFonts w:hint="eastAsia" w:ascii="仿宋" w:hAnsi="仿宋" w:eastAsia="仿宋" w:cs="仿宋"/>
          <w:color w:val="000000" w:themeColor="text1"/>
          <w:sz w:val="28"/>
          <w:szCs w:val="28"/>
          <w:highlight w:val="none"/>
          <w14:textFill>
            <w14:solidFill>
              <w14:schemeClr w14:val="tx1"/>
            </w14:solidFill>
          </w14:textFill>
        </w:rPr>
      </w:pPr>
    </w:p>
    <w:p>
      <w:pPr>
        <w:spacing w:line="26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p>
    <w:p>
      <w:pPr>
        <w:rPr>
          <w:rFonts w:hint="eastAsia" w:ascii="仿宋" w:hAnsi="仿宋" w:eastAsia="仿宋" w:cs="仿宋"/>
          <w:color w:val="000000" w:themeColor="text1"/>
          <w:sz w:val="28"/>
          <w:szCs w:val="28"/>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pStyle w:val="15"/>
        <w:spacing w:line="520" w:lineRule="exact"/>
        <w:jc w:val="center"/>
        <w:rPr>
          <w:rFonts w:hint="eastAsia" w:ascii="仿宋" w:hAnsi="仿宋" w:eastAsia="仿宋" w:cs="仿宋"/>
          <w:b/>
          <w:color w:val="auto"/>
          <w:sz w:val="36"/>
          <w:highlight w:val="none"/>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auto"/>
          <w:sz w:val="36"/>
          <w:highlight w:val="none"/>
        </w:rPr>
      </w:pPr>
      <w:r>
        <w:rPr>
          <w:rFonts w:hint="eastAsia" w:ascii="仿宋" w:hAnsi="仿宋" w:eastAsia="仿宋" w:cs="仿宋"/>
          <w:b/>
          <w:color w:val="auto"/>
          <w:sz w:val="36"/>
          <w:highlight w:val="none"/>
        </w:rPr>
        <w:t xml:space="preserve"> 报价明细表</w:t>
      </w:r>
    </w:p>
    <w:p>
      <w:pPr>
        <w:spacing w:line="360" w:lineRule="exact"/>
        <w:jc w:val="center"/>
        <w:rPr>
          <w:rFonts w:hint="eastAsia" w:ascii="仿宋" w:hAnsi="仿宋" w:eastAsia="仿宋" w:cs="仿宋"/>
          <w:color w:val="auto"/>
          <w:sz w:val="24"/>
          <w:highlight w:val="none"/>
          <w:lang w:bidi="he-IL"/>
        </w:rPr>
      </w:pPr>
      <w:r>
        <w:rPr>
          <w:rFonts w:hint="eastAsia" w:ascii="仿宋" w:hAnsi="仿宋" w:eastAsia="仿宋" w:cs="仿宋"/>
          <w:color w:val="auto"/>
          <w:sz w:val="24"/>
          <w:highlight w:val="none"/>
          <w:lang w:bidi="he-IL"/>
        </w:rPr>
        <w:t xml:space="preserve">                                                                 </w:t>
      </w:r>
      <w:r>
        <w:rPr>
          <w:rFonts w:hint="eastAsia" w:ascii="仿宋" w:hAnsi="仿宋" w:eastAsia="仿宋" w:cs="仿宋"/>
          <w:color w:val="auto"/>
          <w:sz w:val="28"/>
          <w:szCs w:val="28"/>
          <w:highlight w:val="none"/>
          <w:lang w:bidi="he-IL"/>
        </w:rPr>
        <w:t xml:space="preserve"> </w:t>
      </w:r>
      <w:r>
        <w:rPr>
          <w:rFonts w:hint="eastAsia" w:ascii="仿宋" w:hAnsi="仿宋" w:eastAsia="仿宋" w:cs="仿宋"/>
          <w:b w:val="0"/>
          <w:bCs w:val="0"/>
          <w:color w:val="auto"/>
          <w:sz w:val="28"/>
          <w:szCs w:val="28"/>
          <w:highlight w:val="none"/>
          <w:lang w:bidi="he-IL"/>
        </w:rPr>
        <w:t>单位：元</w:t>
      </w:r>
      <w:r>
        <w:rPr>
          <w:rFonts w:hint="eastAsia" w:ascii="仿宋" w:hAnsi="仿宋" w:eastAsia="仿宋" w:cs="仿宋"/>
          <w:b w:val="0"/>
          <w:bCs w:val="0"/>
          <w:color w:val="auto"/>
          <w:sz w:val="24"/>
          <w:highlight w:val="none"/>
          <w:lang w:bidi="he-IL"/>
        </w:rPr>
        <w:t xml:space="preserve"> </w:t>
      </w:r>
      <w:r>
        <w:rPr>
          <w:rFonts w:hint="eastAsia" w:ascii="仿宋" w:hAnsi="仿宋" w:eastAsia="仿宋" w:cs="仿宋"/>
          <w:color w:val="auto"/>
          <w:sz w:val="24"/>
          <w:highlight w:val="none"/>
          <w:lang w:bidi="he-IL"/>
        </w:rPr>
        <w:t xml:space="preserve"> </w:t>
      </w:r>
    </w:p>
    <w:p>
      <w:pPr>
        <w:widowControl/>
        <w:spacing w:line="480" w:lineRule="exact"/>
        <w:rPr>
          <w:rFonts w:hint="eastAsia" w:ascii="仿宋" w:hAnsi="仿宋" w:eastAsia="仿宋" w:cs="仿宋"/>
          <w:color w:val="auto"/>
          <w:sz w:val="28"/>
          <w:szCs w:val="28"/>
          <w:highlight w:val="none"/>
        </w:rPr>
      </w:pPr>
    </w:p>
    <w:tbl>
      <w:tblPr>
        <w:tblStyle w:val="32"/>
        <w:tblW w:w="1099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95"/>
        <w:gridCol w:w="1125"/>
        <w:gridCol w:w="879"/>
        <w:gridCol w:w="600"/>
        <w:gridCol w:w="963"/>
        <w:gridCol w:w="599"/>
        <w:gridCol w:w="615"/>
        <w:gridCol w:w="1328"/>
        <w:gridCol w:w="720"/>
        <w:gridCol w:w="1110"/>
        <w:gridCol w:w="825"/>
        <w:gridCol w:w="840"/>
        <w:gridCol w:w="8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9" w:hRule="atLeast"/>
          <w:jc w:val="center"/>
        </w:trPr>
        <w:tc>
          <w:tcPr>
            <w:tcW w:w="49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物料编号</w:t>
            </w:r>
          </w:p>
        </w:tc>
        <w:tc>
          <w:tcPr>
            <w:tcW w:w="1479"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产品名称</w:t>
            </w:r>
          </w:p>
        </w:tc>
        <w:tc>
          <w:tcPr>
            <w:tcW w:w="96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规格型号</w:t>
            </w:r>
          </w:p>
        </w:tc>
        <w:tc>
          <w:tcPr>
            <w:tcW w:w="59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61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c>
          <w:tcPr>
            <w:tcW w:w="13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default" w:ascii="仿宋" w:hAnsi="仿宋" w:eastAsia="仿宋" w:cs="仿宋"/>
                <w:b/>
                <w:bCs/>
                <w:i w:val="0"/>
                <w:iCs w:val="0"/>
                <w:color w:val="auto"/>
                <w:sz w:val="21"/>
                <w:szCs w:val="21"/>
                <w:highlight w:val="none"/>
                <w:u w:val="none"/>
                <w:lang w:val="en-US" w:eastAsia="zh-CN"/>
              </w:rPr>
            </w:pPr>
            <w:r>
              <w:rPr>
                <w:rFonts w:hint="eastAsia" w:ascii="仿宋" w:hAnsi="仿宋" w:eastAsia="仿宋" w:cs="仿宋"/>
                <w:b/>
                <w:bCs/>
                <w:i w:val="0"/>
                <w:iCs w:val="0"/>
                <w:color w:val="auto"/>
                <w:sz w:val="21"/>
                <w:szCs w:val="21"/>
                <w:highlight w:val="none"/>
                <w:u w:val="none"/>
                <w:lang w:val="en-US" w:eastAsia="zh-CN"/>
              </w:rPr>
              <w:t>单价最高限价</w:t>
            </w:r>
          </w:p>
        </w:tc>
        <w:tc>
          <w:tcPr>
            <w:tcW w:w="7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lang w:eastAsia="zh-CN"/>
              </w:rPr>
            </w:pPr>
            <w:r>
              <w:rPr>
                <w:rFonts w:hint="eastAsia" w:ascii="仿宋" w:hAnsi="仿宋" w:eastAsia="仿宋" w:cs="仿宋"/>
                <w:b/>
                <w:bCs/>
                <w:i w:val="0"/>
                <w:iCs w:val="0"/>
                <w:color w:val="auto"/>
                <w:sz w:val="21"/>
                <w:szCs w:val="21"/>
                <w:highlight w:val="none"/>
                <w:u w:val="none"/>
                <w:lang w:eastAsia="zh-CN"/>
              </w:rPr>
              <w:t>品牌</w:t>
            </w:r>
          </w:p>
        </w:tc>
        <w:tc>
          <w:tcPr>
            <w:tcW w:w="11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制造厂家</w:t>
            </w:r>
          </w:p>
        </w:tc>
        <w:tc>
          <w:tcPr>
            <w:tcW w:w="8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含税</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单价</w:t>
            </w:r>
          </w:p>
        </w:tc>
        <w:tc>
          <w:tcPr>
            <w:tcW w:w="8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eastAsia"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合价</w:t>
            </w:r>
          </w:p>
        </w:tc>
        <w:tc>
          <w:tcPr>
            <w:tcW w:w="893"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default" w:ascii="仿宋" w:hAnsi="仿宋" w:eastAsia="仿宋" w:cs="仿宋"/>
                <w:b/>
                <w:bCs/>
                <w:i w:val="0"/>
                <w:iCs w:val="0"/>
                <w:color w:val="auto"/>
                <w:kern w:val="0"/>
                <w:sz w:val="21"/>
                <w:szCs w:val="21"/>
                <w:highlight w:val="none"/>
                <w:u w:val="none"/>
                <w:lang w:val="en-US" w:eastAsia="zh-CN" w:bidi="ar"/>
              </w:rPr>
            </w:pPr>
            <w:r>
              <w:rPr>
                <w:rFonts w:hint="eastAsia" w:ascii="仿宋" w:hAnsi="仿宋" w:eastAsia="仿宋" w:cs="仿宋"/>
                <w:b/>
                <w:bCs/>
                <w:i w:val="0"/>
                <w:iCs w:val="0"/>
                <w:color w:val="auto"/>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3" w:hRule="atLeast"/>
          <w:jc w:val="center"/>
        </w:trPr>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before="0" w:beforeAutospacing="0" w:after="0" w:afterAutospacing="0"/>
              <w:ind w:left="425" w:leftChars="0" w:right="0" w:hanging="425" w:firstLineChars="0"/>
              <w:jc w:val="both"/>
              <w:textAlignment w:val="center"/>
              <w:rPr>
                <w:rFonts w:hint="eastAsia" w:ascii="仿宋" w:hAnsi="仿宋" w:eastAsia="仿宋" w:cs="仿宋"/>
                <w:i w:val="0"/>
                <w:iCs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color w:val="auto"/>
                <w:sz w:val="21"/>
                <w:szCs w:val="21"/>
                <w:lang w:val="en-US" w:eastAsia="zh-CN"/>
              </w:rPr>
            </w:pPr>
            <w:r>
              <w:rPr>
                <w:rFonts w:hint="eastAsia" w:ascii="仿宋" w:hAnsi="仿宋" w:eastAsia="仿宋" w:cs="仿宋"/>
                <w:i w:val="0"/>
                <w:iCs w:val="0"/>
                <w:caps w:val="0"/>
                <w:color w:val="444444"/>
                <w:spacing w:val="0"/>
                <w:sz w:val="21"/>
                <w:szCs w:val="21"/>
                <w:shd w:val="clear" w:color="auto" w:fill="FFFFFF"/>
              </w:rPr>
              <w:t>1160</w:t>
            </w:r>
          </w:p>
        </w:tc>
        <w:tc>
          <w:tcPr>
            <w:tcW w:w="14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color w:val="auto"/>
                <w:sz w:val="21"/>
                <w:szCs w:val="21"/>
              </w:rPr>
            </w:pPr>
            <w:r>
              <w:rPr>
                <w:rFonts w:hint="eastAsia" w:ascii="仿宋" w:hAnsi="仿宋" w:eastAsia="仿宋" w:cs="仿宋"/>
                <w:i w:val="0"/>
                <w:iCs w:val="0"/>
                <w:caps w:val="0"/>
                <w:color w:val="444444"/>
                <w:spacing w:val="0"/>
                <w:sz w:val="21"/>
                <w:szCs w:val="21"/>
                <w:shd w:val="clear" w:color="auto" w:fill="FFFFFF"/>
              </w:rPr>
              <w:t>高压变频器功率单元升级改造</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color w:val="auto"/>
                <w:sz w:val="21"/>
                <w:szCs w:val="21"/>
                <w:lang w:val="en-US"/>
              </w:rPr>
            </w:pPr>
            <w:r>
              <w:rPr>
                <w:rFonts w:hint="eastAsia" w:ascii="仿宋" w:hAnsi="仿宋" w:eastAsia="仿宋" w:cs="仿宋"/>
                <w:sz w:val="21"/>
                <w:szCs w:val="21"/>
              </w:rPr>
              <w:t>详见技术要求</w:t>
            </w:r>
          </w:p>
        </w:tc>
        <w:tc>
          <w:tcPr>
            <w:tcW w:w="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aps w:val="0"/>
                <w:color w:val="444444"/>
                <w:spacing w:val="0"/>
                <w:kern w:val="0"/>
                <w:sz w:val="21"/>
                <w:szCs w:val="21"/>
                <w:lang w:val="en-US" w:eastAsia="zh-CN" w:bidi="ar"/>
              </w:rPr>
              <w:t>项</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sz w:val="21"/>
                <w:szCs w:val="21"/>
                <w:lang w:val="en-US" w:eastAsia="zh-CN"/>
              </w:rPr>
              <w:t>1</w:t>
            </w:r>
          </w:p>
        </w:tc>
        <w:tc>
          <w:tcPr>
            <w:tcW w:w="13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default"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sz w:val="21"/>
                <w:szCs w:val="21"/>
                <w:highlight w:val="none"/>
                <w:u w:val="none"/>
                <w:lang w:val="en-US" w:eastAsia="zh-CN"/>
              </w:rPr>
              <w:t>1560000.00</w:t>
            </w:r>
          </w:p>
        </w:tc>
        <w:tc>
          <w:tcPr>
            <w:tcW w:w="7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93" w:type="dxa"/>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市区公司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3" w:hRule="atLeast"/>
          <w:jc w:val="center"/>
        </w:trPr>
        <w:tc>
          <w:tcPr>
            <w:tcW w:w="4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numPr>
                <w:ilvl w:val="0"/>
                <w:numId w:val="6"/>
              </w:numPr>
              <w:suppressLineNumbers w:val="0"/>
              <w:spacing w:before="0" w:beforeAutospacing="0" w:after="0" w:afterAutospacing="0"/>
              <w:ind w:left="425" w:leftChars="0" w:right="0" w:hanging="425" w:firstLineChars="0"/>
              <w:jc w:val="center"/>
              <w:textAlignment w:val="center"/>
              <w:rPr>
                <w:rFonts w:hint="eastAsia" w:ascii="仿宋" w:hAnsi="仿宋" w:eastAsia="仿宋" w:cs="仿宋"/>
                <w:i w:val="0"/>
                <w:iCs w:val="0"/>
                <w:color w:val="000000"/>
                <w:kern w:val="0"/>
                <w:sz w:val="21"/>
                <w:szCs w:val="21"/>
                <w:u w:val="none"/>
                <w:lang w:val="en-US" w:eastAsia="zh-CN" w:bidi="ar"/>
              </w:rPr>
            </w:pPr>
          </w:p>
        </w:tc>
        <w:tc>
          <w:tcPr>
            <w:tcW w:w="11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aps w:val="0"/>
                <w:color w:val="444444"/>
                <w:spacing w:val="0"/>
                <w:sz w:val="21"/>
                <w:szCs w:val="21"/>
                <w:shd w:val="clear" w:color="auto" w:fill="FFFFFF"/>
              </w:rPr>
            </w:pPr>
            <w:r>
              <w:rPr>
                <w:rFonts w:hint="eastAsia" w:ascii="仿宋" w:hAnsi="仿宋" w:eastAsia="仿宋" w:cs="仿宋"/>
                <w:i w:val="0"/>
                <w:iCs w:val="0"/>
                <w:caps w:val="0"/>
                <w:color w:val="444444"/>
                <w:spacing w:val="0"/>
                <w:sz w:val="21"/>
                <w:szCs w:val="21"/>
                <w:shd w:val="clear" w:color="auto" w:fill="FFFFFF"/>
              </w:rPr>
              <w:t>1705031421</w:t>
            </w:r>
          </w:p>
        </w:tc>
        <w:tc>
          <w:tcPr>
            <w:tcW w:w="14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i w:val="0"/>
                <w:iCs w:val="0"/>
                <w:caps w:val="0"/>
                <w:color w:val="444444"/>
                <w:spacing w:val="0"/>
                <w:sz w:val="21"/>
                <w:szCs w:val="21"/>
                <w:shd w:val="clear" w:color="auto" w:fill="FFFFFF"/>
              </w:rPr>
            </w:pPr>
            <w:r>
              <w:rPr>
                <w:rFonts w:hint="eastAsia" w:ascii="仿宋" w:hAnsi="仿宋" w:eastAsia="仿宋" w:cs="仿宋"/>
                <w:i w:val="0"/>
                <w:iCs w:val="0"/>
                <w:caps w:val="0"/>
                <w:color w:val="444444"/>
                <w:spacing w:val="0"/>
                <w:sz w:val="21"/>
                <w:szCs w:val="21"/>
                <w:shd w:val="clear" w:color="auto" w:fill="FFFFFF"/>
              </w:rPr>
              <w:t>#6炉引风机、一、二次风机变频器改造</w:t>
            </w:r>
          </w:p>
        </w:tc>
        <w:tc>
          <w:tcPr>
            <w:tcW w:w="9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sz w:val="21"/>
                <w:szCs w:val="21"/>
              </w:rPr>
            </w:pPr>
            <w:r>
              <w:rPr>
                <w:rFonts w:hint="eastAsia" w:ascii="仿宋" w:hAnsi="仿宋" w:eastAsia="仿宋" w:cs="仿宋"/>
                <w:i w:val="0"/>
                <w:iCs w:val="0"/>
                <w:caps w:val="0"/>
                <w:color w:val="444444"/>
                <w:spacing w:val="0"/>
                <w:sz w:val="21"/>
                <w:szCs w:val="21"/>
                <w:shd w:val="clear" w:color="auto" w:fill="FFFFFF"/>
              </w:rPr>
              <w:t>详见技术要求</w:t>
            </w:r>
          </w:p>
        </w:tc>
        <w:tc>
          <w:tcPr>
            <w:tcW w:w="59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i w:val="0"/>
                <w:iCs w:val="0"/>
                <w:caps w:val="0"/>
                <w:color w:val="444444"/>
                <w:spacing w:val="0"/>
                <w:kern w:val="0"/>
                <w:sz w:val="21"/>
                <w:szCs w:val="21"/>
                <w:lang w:val="en-US" w:eastAsia="zh-CN" w:bidi="ar"/>
              </w:rPr>
            </w:pPr>
            <w:r>
              <w:rPr>
                <w:rFonts w:hint="eastAsia" w:ascii="仿宋" w:hAnsi="仿宋" w:eastAsia="仿宋" w:cs="仿宋"/>
                <w:i w:val="0"/>
                <w:iCs w:val="0"/>
                <w:caps w:val="0"/>
                <w:color w:val="444444"/>
                <w:spacing w:val="0"/>
                <w:kern w:val="0"/>
                <w:sz w:val="21"/>
                <w:szCs w:val="21"/>
                <w:lang w:val="en-US" w:eastAsia="zh-CN" w:bidi="ar"/>
              </w:rPr>
              <w:t>台</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328"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default" w:ascii="仿宋" w:hAnsi="仿宋" w:eastAsia="仿宋" w:cs="仿宋"/>
                <w:i w:val="0"/>
                <w:iCs w:val="0"/>
                <w:color w:val="auto"/>
                <w:sz w:val="21"/>
                <w:szCs w:val="21"/>
                <w:highlight w:val="none"/>
                <w:u w:val="none"/>
                <w:lang w:val="en-US" w:eastAsia="zh-CN"/>
              </w:rPr>
            </w:pPr>
            <w:r>
              <w:rPr>
                <w:rFonts w:hint="eastAsia" w:ascii="仿宋" w:hAnsi="仿宋" w:eastAsia="仿宋" w:cs="仿宋"/>
                <w:i w:val="0"/>
                <w:iCs w:val="0"/>
                <w:color w:val="auto"/>
                <w:sz w:val="21"/>
                <w:szCs w:val="21"/>
                <w:highlight w:val="none"/>
                <w:u w:val="none"/>
                <w:lang w:val="en-US" w:eastAsia="zh-CN"/>
              </w:rPr>
              <w:t>496250.00</w:t>
            </w:r>
          </w:p>
        </w:tc>
        <w:tc>
          <w:tcPr>
            <w:tcW w:w="72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11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sz w:val="21"/>
                <w:szCs w:val="21"/>
                <w:highlight w:val="none"/>
                <w:u w:val="none"/>
              </w:rPr>
            </w:pPr>
          </w:p>
        </w:tc>
        <w:tc>
          <w:tcPr>
            <w:tcW w:w="893" w:type="dxa"/>
            <w:tcBorders>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textAlignment w:val="center"/>
              <w:rPr>
                <w:rFonts w:hint="default"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博通公司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1620" w:type="dxa"/>
            <w:gridSpan w:val="2"/>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kern w:val="0"/>
                <w:sz w:val="28"/>
                <w:szCs w:val="28"/>
                <w:highlight w:val="none"/>
                <w:u w:val="none"/>
                <w:lang w:val="en-US" w:eastAsia="zh-CN" w:bidi="ar"/>
              </w:rPr>
            </w:pPr>
          </w:p>
        </w:tc>
        <w:tc>
          <w:tcPr>
            <w:tcW w:w="87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kern w:val="0"/>
                <w:sz w:val="28"/>
                <w:szCs w:val="28"/>
                <w:highlight w:val="none"/>
                <w:u w:val="none"/>
                <w:lang w:val="en-US" w:eastAsia="zh-CN" w:bidi="ar"/>
              </w:rPr>
            </w:pPr>
          </w:p>
        </w:tc>
        <w:tc>
          <w:tcPr>
            <w:tcW w:w="8493" w:type="dxa"/>
            <w:gridSpan w:val="10"/>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00" w:lineRule="exact"/>
              <w:ind w:left="0" w:right="0" w:firstLine="0" w:firstLineChars="0"/>
              <w:jc w:val="center"/>
              <w:rPr>
                <w:rFonts w:hint="eastAsia" w:ascii="仿宋" w:hAnsi="仿宋" w:eastAsia="仿宋" w:cs="仿宋"/>
                <w:i w:val="0"/>
                <w:iCs w:val="0"/>
                <w:color w:val="auto"/>
                <w:kern w:val="0"/>
                <w:sz w:val="28"/>
                <w:szCs w:val="28"/>
                <w:highlight w:val="none"/>
                <w:u w:val="none"/>
                <w:lang w:val="en-US" w:eastAsia="zh-CN" w:bidi="ar"/>
              </w:rPr>
            </w:pPr>
            <w:r>
              <w:rPr>
                <w:rFonts w:hint="eastAsia" w:ascii="仿宋" w:hAnsi="仿宋" w:eastAsia="仿宋" w:cs="仿宋"/>
                <w:i w:val="0"/>
                <w:iCs w:val="0"/>
                <w:color w:val="auto"/>
                <w:kern w:val="0"/>
                <w:sz w:val="28"/>
                <w:szCs w:val="28"/>
                <w:highlight w:val="none"/>
                <w:u w:val="none"/>
                <w:lang w:val="en-US" w:eastAsia="zh-CN" w:bidi="ar"/>
              </w:rPr>
              <w:t>合计：（大写）                      （小写）</w:t>
            </w:r>
          </w:p>
        </w:tc>
      </w:tr>
    </w:tbl>
    <w:p>
      <w:pPr>
        <w:keepNext w:val="0"/>
        <w:keepLines w:val="0"/>
        <w:pageBreakBefore w:val="0"/>
        <w:kinsoku/>
        <w:wordWrap/>
        <w:overflowPunct/>
        <w:topLinePunct w:val="0"/>
        <w:autoSpaceDE/>
        <w:autoSpaceDN/>
        <w:bidi w:val="0"/>
        <w:adjustRightInd/>
        <w:snapToGrid/>
        <w:spacing w:line="518" w:lineRule="exact"/>
        <w:ind w:left="560" w:hanging="560" w:hanging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注：1.此表中的报价应包括</w:t>
      </w:r>
      <w:r>
        <w:rPr>
          <w:rFonts w:hint="eastAsia" w:ascii="仿宋" w:hAnsi="仿宋" w:eastAsia="仿宋" w:cs="仿宋"/>
          <w:color w:val="auto"/>
          <w:sz w:val="28"/>
          <w:szCs w:val="28"/>
          <w:highlight w:val="none"/>
          <w:lang w:val="en-US" w:eastAsia="zh-CN"/>
        </w:rPr>
        <w:t>13%</w:t>
      </w:r>
      <w:r>
        <w:rPr>
          <w:rFonts w:hint="eastAsia" w:ascii="仿宋" w:hAnsi="仿宋" w:eastAsia="仿宋" w:cs="仿宋"/>
          <w:color w:val="auto"/>
          <w:sz w:val="28"/>
          <w:szCs w:val="28"/>
          <w:highlight w:val="none"/>
        </w:rPr>
        <w:t>全额增值税及产品制造、运输、装卸</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及售后服务等全部费用。</w:t>
      </w:r>
    </w:p>
    <w:p>
      <w:pPr>
        <w:keepNext w:val="0"/>
        <w:keepLines w:val="0"/>
        <w:pageBreakBefore w:val="0"/>
        <w:kinsoku/>
        <w:wordWrap/>
        <w:overflowPunct/>
        <w:topLinePunct w:val="0"/>
        <w:autoSpaceDE/>
        <w:autoSpaceDN/>
        <w:bidi w:val="0"/>
        <w:adjustRightInd/>
        <w:snapToGrid/>
        <w:spacing w:line="518" w:lineRule="exact"/>
        <w:ind w:left="839" w:leftChars="266" w:hanging="280" w:hanging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此表必须详细填写货物的名称、品牌、制造厂家等，否则，因此造成的后果自负。</w:t>
      </w:r>
    </w:p>
    <w:p>
      <w:pPr>
        <w:pStyle w:val="12"/>
        <w:rPr>
          <w:rFonts w:hint="default" w:ascii="仿宋" w:hAnsi="仿宋" w:eastAsia="仿宋" w:cs="仿宋"/>
          <w:color w:val="auto"/>
          <w:sz w:val="28"/>
          <w:szCs w:val="28"/>
          <w:highlight w:val="none"/>
          <w:lang w:val="en-US" w:eastAsia="zh-CN"/>
        </w:rPr>
      </w:pPr>
    </w:p>
    <w:p>
      <w:pPr>
        <w:pStyle w:val="15"/>
        <w:spacing w:line="520" w:lineRule="exact"/>
        <w:jc w:val="center"/>
        <w:rPr>
          <w:rFonts w:hint="eastAsia" w:ascii="仿宋" w:hAnsi="仿宋" w:eastAsia="仿宋" w:cs="仿宋"/>
          <w:b/>
          <w:color w:val="000000" w:themeColor="text1"/>
          <w:sz w:val="36"/>
          <w:highlight w:val="none"/>
          <w14:textFill>
            <w14:solidFill>
              <w14:schemeClr w14:val="tx1"/>
            </w14:solidFill>
          </w14:textFill>
        </w:rPr>
      </w:pPr>
    </w:p>
    <w:p>
      <w:pPr>
        <w:rPr>
          <w:rFonts w:hint="eastAsia" w:ascii="仿宋" w:hAnsi="仿宋" w:eastAsia="仿宋" w:cs="仿宋"/>
          <w:b/>
          <w:color w:val="000000" w:themeColor="text1"/>
          <w:sz w:val="36"/>
          <w:highlight w:val="none"/>
          <w14:textFill>
            <w14:solidFill>
              <w14:schemeClr w14:val="tx1"/>
            </w14:solidFill>
          </w14:textFill>
        </w:rPr>
      </w:pP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keepNext w:val="0"/>
        <w:keepLines w:val="0"/>
        <w:pageBreakBefore/>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color w:val="000000" w:themeColor="text1"/>
          <w:sz w:val="36"/>
          <w:szCs w:val="20"/>
          <w:highlight w:val="none"/>
          <w:lang w:val="en-US" w:eastAsia="zh-CN"/>
          <w14:textFill>
            <w14:solidFill>
              <w14:schemeClr w14:val="tx1"/>
            </w14:solidFill>
          </w14:textFill>
        </w:rPr>
      </w:pPr>
      <w:r>
        <w:rPr>
          <w:rFonts w:hint="eastAsia" w:ascii="仿宋" w:hAnsi="仿宋" w:eastAsia="仿宋" w:cs="仿宋"/>
          <w:b/>
          <w:color w:val="000000" w:themeColor="text1"/>
          <w:sz w:val="36"/>
          <w:szCs w:val="20"/>
          <w:highlight w:val="none"/>
          <w:lang w:val="en-US" w:eastAsia="zh-CN"/>
          <w14:textFill>
            <w14:solidFill>
              <w14:schemeClr w14:val="tx1"/>
            </w14:solidFill>
          </w14:textFill>
        </w:rPr>
        <w:t>市区公司供货清单</w:t>
      </w:r>
    </w:p>
    <w:tbl>
      <w:tblPr>
        <w:tblStyle w:val="33"/>
        <w:tblpPr w:leftFromText="180" w:rightFromText="180" w:vertAnchor="text" w:horzAnchor="page" w:tblpXSpec="center" w:tblpY="441"/>
        <w:tblOverlap w:val="never"/>
        <w:tblW w:w="92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65"/>
        <w:gridCol w:w="1500"/>
        <w:gridCol w:w="840"/>
        <w:gridCol w:w="765"/>
        <w:gridCol w:w="76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序号</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名称</w:t>
            </w:r>
          </w:p>
        </w:tc>
        <w:tc>
          <w:tcPr>
            <w:tcW w:w="15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规格型号</w:t>
            </w:r>
          </w:p>
        </w:tc>
        <w:tc>
          <w:tcPr>
            <w:tcW w:w="8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数量</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单位</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生产厂家</w:t>
            </w: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69" w:hRule="atLeast"/>
          <w:jc w:val="center"/>
        </w:trPr>
        <w:tc>
          <w:tcPr>
            <w:tcW w:w="7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1</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引风机高压变频器功率单元</w:t>
            </w:r>
          </w:p>
        </w:tc>
        <w:tc>
          <w:tcPr>
            <w:tcW w:w="15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690V/250A</w:t>
            </w:r>
          </w:p>
        </w:tc>
        <w:tc>
          <w:tcPr>
            <w:tcW w:w="8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default" w:ascii="仿宋" w:hAnsi="仿宋" w:eastAsia="仿宋" w:cs="仿宋"/>
                <w:sz w:val="24"/>
                <w:lang w:val="en-US" w:eastAsia="zh-CN"/>
              </w:rPr>
            </w:pPr>
            <w:r>
              <w:rPr>
                <w:rFonts w:hint="eastAsia" w:ascii="仿宋" w:hAnsi="仿宋" w:eastAsia="仿宋" w:cs="仿宋"/>
                <w:sz w:val="24"/>
                <w:lang w:val="en-US" w:eastAsia="zh-CN"/>
              </w:rPr>
              <w:t>个</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含配套控制系统、接线、调试（用于6kV/1800kW电机）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2</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一次风机高压变频器功率单元</w:t>
            </w:r>
          </w:p>
        </w:tc>
        <w:tc>
          <w:tcPr>
            <w:tcW w:w="15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690V/192A</w:t>
            </w:r>
          </w:p>
        </w:tc>
        <w:tc>
          <w:tcPr>
            <w:tcW w:w="8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个</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含配套控制系统、接线、调试（用于6kV/1250kW电机）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3</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二次风机高压变频器功率单元</w:t>
            </w:r>
          </w:p>
        </w:tc>
        <w:tc>
          <w:tcPr>
            <w:tcW w:w="15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690V/096A</w:t>
            </w:r>
          </w:p>
        </w:tc>
        <w:tc>
          <w:tcPr>
            <w:tcW w:w="8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个</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含配套控制系统、接线、调试（用于6kV/710kW电机）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#14#15给水泵高压变频器功率单元</w:t>
            </w:r>
          </w:p>
        </w:tc>
        <w:tc>
          <w:tcPr>
            <w:tcW w:w="150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690V/192A</w:t>
            </w:r>
          </w:p>
        </w:tc>
        <w:tc>
          <w:tcPr>
            <w:tcW w:w="84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个</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含配套控制系统、接线、调试（用于6kV/1600kW电机）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5</w:t>
            </w:r>
          </w:p>
        </w:tc>
        <w:tc>
          <w:tcPr>
            <w:tcW w:w="19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备用模块</w:t>
            </w:r>
          </w:p>
        </w:tc>
        <w:tc>
          <w:tcPr>
            <w:tcW w:w="1500"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690V/250A/192A/096A</w:t>
            </w:r>
          </w:p>
        </w:tc>
        <w:tc>
          <w:tcPr>
            <w:tcW w:w="840"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7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个</w:t>
            </w:r>
          </w:p>
        </w:tc>
        <w:tc>
          <w:tcPr>
            <w:tcW w:w="7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p>
        </w:tc>
        <w:tc>
          <w:tcPr>
            <w:tcW w:w="2752"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每台变频器提供1个备用功率单元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19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15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84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2752"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9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50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840"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c>
          <w:tcPr>
            <w:tcW w:w="2752" w:type="dxa"/>
            <w:shd w:val="clear" w:color="auto" w:fill="auto"/>
            <w:vAlign w:val="center"/>
          </w:tcPr>
          <w:p>
            <w:pPr>
              <w:keepNext w:val="0"/>
              <w:keepLines w:val="0"/>
              <w:suppressLineNumbers w:val="0"/>
              <w:spacing w:before="0" w:beforeAutospacing="0" w:after="0" w:afterAutospacing="0" w:line="240" w:lineRule="auto"/>
              <w:ind w:left="0" w:right="0"/>
              <w:jc w:val="center"/>
              <w:rPr>
                <w:rFonts w:hint="eastAsia" w:ascii="仿宋" w:hAnsi="仿宋" w:eastAsia="仿宋" w:cs="仿宋"/>
                <w:sz w:val="24"/>
                <w:highlight w:val="none"/>
                <w:lang w:val="en-US" w:eastAsia="zh-CN"/>
              </w:rPr>
            </w:pPr>
          </w:p>
        </w:tc>
      </w:tr>
    </w:tbl>
    <w:p>
      <w:pPr>
        <w:pStyle w:val="12"/>
        <w:rPr>
          <w:rFonts w:hint="default"/>
          <w:lang w:val="en-US" w:eastAsia="zh-CN"/>
        </w:rPr>
      </w:pPr>
    </w:p>
    <w:p>
      <w:pPr>
        <w:rPr>
          <w:rFonts w:hint="default"/>
          <w:lang w:val="en-US" w:eastAsia="zh-CN"/>
        </w:rPr>
      </w:pPr>
    </w:p>
    <w:p>
      <w:pPr>
        <w:pStyle w:val="31"/>
        <w:rPr>
          <w:rFonts w:hint="eastAsia" w:ascii="仿宋" w:hAnsi="仿宋" w:eastAsia="仿宋" w:cs="仿宋"/>
          <w:highlight w:val="none"/>
          <w:lang w:val="en-US" w:eastAsia="zh-CN"/>
        </w:rPr>
      </w:pPr>
      <w:r>
        <w:rPr>
          <w:rFonts w:hint="eastAsia" w:ascii="仿宋" w:hAnsi="仿宋" w:eastAsia="仿宋" w:cs="仿宋"/>
          <w:sz w:val="24"/>
          <w:highlight w:val="none"/>
          <w:lang w:val="en-US" w:eastAsia="zh-CN"/>
        </w:rPr>
        <w:t>注：投标人</w:t>
      </w:r>
      <w:r>
        <w:rPr>
          <w:rFonts w:hint="eastAsia" w:ascii="仿宋" w:hAnsi="仿宋" w:eastAsia="仿宋" w:cs="仿宋"/>
          <w:sz w:val="24"/>
          <w:highlight w:val="none"/>
        </w:rPr>
        <w:t>提供详细供货清单，清单中依次说明型号、数量、产地、生产厂家等内容。对于属于整套设备运行和施工所必需的部件，即使本</w:t>
      </w:r>
      <w:r>
        <w:rPr>
          <w:rFonts w:hint="eastAsia" w:ascii="仿宋" w:hAnsi="仿宋" w:eastAsia="仿宋" w:cs="仿宋"/>
          <w:sz w:val="24"/>
          <w:highlight w:val="none"/>
          <w:lang w:val="en-US" w:eastAsia="zh-CN"/>
        </w:rPr>
        <w:t>表</w:t>
      </w:r>
      <w:r>
        <w:rPr>
          <w:rFonts w:hint="eastAsia" w:ascii="仿宋" w:hAnsi="仿宋" w:eastAsia="仿宋" w:cs="仿宋"/>
          <w:sz w:val="24"/>
          <w:highlight w:val="none"/>
        </w:rPr>
        <w:t>未列出和/或数目不足，</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方仍在执行的同时免费补足</w:t>
      </w:r>
      <w:r>
        <w:rPr>
          <w:rFonts w:hint="eastAsia" w:ascii="仿宋" w:hAnsi="仿宋" w:eastAsia="仿宋" w:cs="仿宋"/>
          <w:sz w:val="24"/>
          <w:highlight w:val="none"/>
          <w:lang w:eastAsia="zh-CN"/>
        </w:rPr>
        <w:t>。</w:t>
      </w:r>
    </w:p>
    <w:p>
      <w:pPr>
        <w:pStyle w:val="31"/>
        <w:rPr>
          <w:rFonts w:hint="default"/>
          <w:lang w:val="en-US" w:eastAsia="zh-CN"/>
        </w:rPr>
      </w:pP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rPr>
          <w:rFonts w:hint="eastAsia" w:ascii="仿宋" w:hAnsi="仿宋" w:eastAsia="仿宋" w:cs="仿宋"/>
          <w:b/>
          <w:color w:val="000000" w:themeColor="text1"/>
          <w:sz w:val="36"/>
          <w:highlight w:val="none"/>
          <w14:textFill>
            <w14:solidFill>
              <w14:schemeClr w14:val="tx1"/>
            </w14:solidFill>
          </w14:textFill>
        </w:rPr>
      </w:pPr>
    </w:p>
    <w:p>
      <w:pPr>
        <w:pStyle w:val="31"/>
        <w:rPr>
          <w:rFonts w:hint="default"/>
          <w:lang w:val="en-US" w:eastAsia="zh-CN"/>
        </w:rPr>
      </w:pPr>
    </w:p>
    <w:p>
      <w:pPr>
        <w:keepNext w:val="0"/>
        <w:keepLines w:val="0"/>
        <w:pageBreakBefore/>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color w:val="000000" w:themeColor="text1"/>
          <w:sz w:val="36"/>
          <w:szCs w:val="20"/>
          <w:highlight w:val="none"/>
          <w:lang w:val="en-US" w:eastAsia="zh-CN"/>
          <w14:textFill>
            <w14:solidFill>
              <w14:schemeClr w14:val="tx1"/>
            </w14:solidFill>
          </w14:textFill>
        </w:rPr>
      </w:pPr>
      <w:r>
        <w:rPr>
          <w:rFonts w:hint="eastAsia" w:ascii="仿宋" w:hAnsi="仿宋" w:eastAsia="仿宋" w:cs="仿宋"/>
          <w:b/>
          <w:color w:val="000000" w:themeColor="text1"/>
          <w:sz w:val="36"/>
          <w:szCs w:val="20"/>
          <w:highlight w:val="none"/>
          <w:lang w:val="en-US" w:eastAsia="zh-CN"/>
          <w14:textFill>
            <w14:solidFill>
              <w14:schemeClr w14:val="tx1"/>
            </w14:solidFill>
          </w14:textFill>
        </w:rPr>
        <w:t>博通公司供货清单</w:t>
      </w:r>
    </w:p>
    <w:tbl>
      <w:tblPr>
        <w:tblStyle w:val="33"/>
        <w:tblpPr w:leftFromText="180" w:rightFromText="180" w:vertAnchor="text" w:horzAnchor="page" w:tblpX="1912" w:tblpY="441"/>
        <w:tblOverlap w:val="never"/>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965"/>
        <w:gridCol w:w="1770"/>
        <w:gridCol w:w="570"/>
        <w:gridCol w:w="765"/>
        <w:gridCol w:w="765"/>
        <w:gridCol w:w="2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序号</w:t>
            </w:r>
          </w:p>
        </w:tc>
        <w:tc>
          <w:tcPr>
            <w:tcW w:w="1965"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名称</w:t>
            </w:r>
          </w:p>
        </w:tc>
        <w:tc>
          <w:tcPr>
            <w:tcW w:w="177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规格型号</w:t>
            </w:r>
          </w:p>
        </w:tc>
        <w:tc>
          <w:tcPr>
            <w:tcW w:w="570"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数量</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单位</w:t>
            </w: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lang w:val="en-US" w:eastAsia="zh-CN"/>
              </w:rPr>
            </w:pPr>
            <w:r>
              <w:rPr>
                <w:rFonts w:hint="eastAsia" w:ascii="仿宋" w:hAnsi="仿宋" w:eastAsia="仿宋" w:cs="仿宋"/>
                <w:sz w:val="24"/>
                <w:lang w:val="en-US" w:eastAsia="zh-CN"/>
              </w:rPr>
              <w:t>生产厂家</w:t>
            </w: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9" w:hRule="atLeast"/>
        </w:trPr>
        <w:tc>
          <w:tcPr>
            <w:tcW w:w="70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vertAlign w:val="superscript"/>
              </w:rPr>
              <w:t>#</w:t>
            </w:r>
            <w:r>
              <w:rPr>
                <w:rFonts w:hint="eastAsia" w:ascii="仿宋" w:hAnsi="仿宋" w:eastAsia="仿宋" w:cs="仿宋"/>
                <w:sz w:val="24"/>
              </w:rPr>
              <w:t>6炉引风机高压变频器功率单元升级改造</w:t>
            </w:r>
          </w:p>
        </w:tc>
        <w:tc>
          <w:tcPr>
            <w:tcW w:w="1770" w:type="dxa"/>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highlight w:val="none"/>
                <w:lang w:val="en-US" w:eastAsia="zh-CN"/>
              </w:rPr>
            </w:pPr>
            <w:r>
              <w:rPr>
                <w:rFonts w:hint="eastAsia" w:ascii="仿宋" w:hAnsi="仿宋" w:eastAsia="仿宋" w:cs="仿宋"/>
                <w:color w:val="auto"/>
                <w:kern w:val="0"/>
                <w:sz w:val="24"/>
              </w:rPr>
              <w:t>HPU690/250MB1</w:t>
            </w:r>
          </w:p>
        </w:tc>
        <w:tc>
          <w:tcPr>
            <w:tcW w:w="57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台</w:t>
            </w:r>
          </w:p>
        </w:tc>
        <w:tc>
          <w:tcPr>
            <w:tcW w:w="765"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rPr>
            </w:pPr>
            <w:r>
              <w:rPr>
                <w:rFonts w:hint="eastAsia" w:ascii="仿宋" w:hAnsi="仿宋" w:eastAsia="仿宋" w:cs="仿宋"/>
                <w:sz w:val="24"/>
                <w:vertAlign w:val="superscript"/>
              </w:rPr>
              <w:t>#</w:t>
            </w:r>
            <w:r>
              <w:rPr>
                <w:rFonts w:hint="eastAsia" w:ascii="仿宋" w:hAnsi="仿宋" w:eastAsia="仿宋" w:cs="仿宋"/>
                <w:sz w:val="24"/>
              </w:rPr>
              <w:t>6炉</w:t>
            </w:r>
            <w:r>
              <w:rPr>
                <w:rFonts w:hint="eastAsia" w:ascii="仿宋" w:hAnsi="仿宋" w:eastAsia="仿宋" w:cs="仿宋"/>
                <w:sz w:val="24"/>
                <w:lang w:val="en-US" w:eastAsia="zh-CN"/>
              </w:rPr>
              <w:t>一次</w:t>
            </w:r>
            <w:r>
              <w:rPr>
                <w:rFonts w:hint="eastAsia" w:ascii="仿宋" w:hAnsi="仿宋" w:eastAsia="仿宋" w:cs="仿宋"/>
                <w:sz w:val="24"/>
              </w:rPr>
              <w:t>风机高压变频器功率单元升级改造</w:t>
            </w:r>
          </w:p>
        </w:tc>
        <w:tc>
          <w:tcPr>
            <w:tcW w:w="1770" w:type="dxa"/>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highlight w:val="none"/>
              </w:rPr>
            </w:pPr>
            <w:r>
              <w:rPr>
                <w:rFonts w:hint="eastAsia" w:ascii="仿宋" w:hAnsi="仿宋" w:eastAsia="仿宋" w:cs="仿宋"/>
                <w:color w:val="auto"/>
                <w:kern w:val="0"/>
                <w:sz w:val="24"/>
              </w:rPr>
              <w:t>690/192D1</w:t>
            </w:r>
          </w:p>
        </w:tc>
        <w:tc>
          <w:tcPr>
            <w:tcW w:w="57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台</w:t>
            </w:r>
          </w:p>
        </w:tc>
        <w:tc>
          <w:tcPr>
            <w:tcW w:w="765"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rPr>
            </w:pPr>
            <w:r>
              <w:rPr>
                <w:rFonts w:hint="eastAsia" w:ascii="仿宋" w:hAnsi="仿宋" w:eastAsia="仿宋" w:cs="仿宋"/>
                <w:sz w:val="24"/>
                <w:vertAlign w:val="superscript"/>
              </w:rPr>
              <w:t>#</w:t>
            </w:r>
            <w:r>
              <w:rPr>
                <w:rFonts w:hint="eastAsia" w:ascii="仿宋" w:hAnsi="仿宋" w:eastAsia="仿宋" w:cs="仿宋"/>
                <w:sz w:val="24"/>
              </w:rPr>
              <w:t>6炉</w:t>
            </w:r>
            <w:r>
              <w:rPr>
                <w:rFonts w:hint="eastAsia" w:ascii="仿宋" w:hAnsi="仿宋" w:eastAsia="仿宋" w:cs="仿宋"/>
                <w:sz w:val="24"/>
                <w:lang w:val="en-US" w:eastAsia="zh-CN"/>
              </w:rPr>
              <w:t>二次</w:t>
            </w:r>
            <w:r>
              <w:rPr>
                <w:rFonts w:hint="eastAsia" w:ascii="仿宋" w:hAnsi="仿宋" w:eastAsia="仿宋" w:cs="仿宋"/>
                <w:sz w:val="24"/>
              </w:rPr>
              <w:t>风机高压变频器功率单元升级改造</w:t>
            </w:r>
          </w:p>
        </w:tc>
        <w:tc>
          <w:tcPr>
            <w:tcW w:w="1770" w:type="dxa"/>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highlight w:val="none"/>
              </w:rPr>
            </w:pPr>
            <w:r>
              <w:rPr>
                <w:rFonts w:hint="eastAsia" w:ascii="仿宋" w:hAnsi="仿宋" w:eastAsia="仿宋" w:cs="仿宋"/>
                <w:color w:val="auto"/>
                <w:kern w:val="0"/>
                <w:sz w:val="24"/>
              </w:rPr>
              <w:t>690/096D1</w:t>
            </w:r>
          </w:p>
        </w:tc>
        <w:tc>
          <w:tcPr>
            <w:tcW w:w="57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台</w:t>
            </w:r>
          </w:p>
        </w:tc>
        <w:tc>
          <w:tcPr>
            <w:tcW w:w="765"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rPr>
            </w:pPr>
            <w:r>
              <w:rPr>
                <w:rFonts w:hint="eastAsia" w:ascii="仿宋" w:hAnsi="仿宋" w:eastAsia="仿宋" w:cs="仿宋"/>
                <w:sz w:val="24"/>
              </w:rPr>
              <w:t>含</w:t>
            </w:r>
            <w:r>
              <w:rPr>
                <w:rFonts w:hint="eastAsia" w:ascii="仿宋" w:hAnsi="仿宋" w:eastAsia="仿宋" w:cs="仿宋"/>
                <w:sz w:val="24"/>
                <w:lang w:val="en-US" w:eastAsia="zh-CN"/>
              </w:rPr>
              <w:t>旧系统拆除、</w:t>
            </w:r>
            <w:r>
              <w:rPr>
                <w:rFonts w:hint="eastAsia" w:ascii="仿宋" w:hAnsi="仿宋" w:eastAsia="仿宋" w:cs="仿宋"/>
                <w:sz w:val="24"/>
              </w:rPr>
              <w:t>配套控制系统、接线、调试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w:t>
            </w:r>
          </w:p>
        </w:tc>
        <w:tc>
          <w:tcPr>
            <w:tcW w:w="19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vertAlign w:val="superscript"/>
              </w:rPr>
              <w:t>#</w:t>
            </w:r>
            <w:r>
              <w:rPr>
                <w:rFonts w:hint="eastAsia" w:ascii="仿宋" w:hAnsi="仿宋" w:eastAsia="仿宋" w:cs="仿宋"/>
                <w:sz w:val="24"/>
              </w:rPr>
              <w:t>6炉高压变频器变压器维保</w:t>
            </w:r>
          </w:p>
        </w:tc>
        <w:tc>
          <w:tcPr>
            <w:tcW w:w="1770" w:type="dxa"/>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sz w:val="24"/>
                <w:highlight w:val="none"/>
                <w:lang w:val="en-US" w:eastAsia="zh-CN"/>
              </w:rPr>
            </w:pPr>
          </w:p>
        </w:tc>
        <w:tc>
          <w:tcPr>
            <w:tcW w:w="570"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765"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台</w:t>
            </w:r>
          </w:p>
        </w:tc>
        <w:tc>
          <w:tcPr>
            <w:tcW w:w="765" w:type="dxa"/>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清灰、检查、变压器试验，出具试验报告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highlight w:val="none"/>
                <w:lang w:val="en-US" w:eastAsia="zh-CN"/>
              </w:rPr>
              <w:t>5</w:t>
            </w:r>
          </w:p>
        </w:tc>
        <w:tc>
          <w:tcPr>
            <w:tcW w:w="19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rPr>
            </w:pPr>
            <w:r>
              <w:rPr>
                <w:rFonts w:hint="eastAsia" w:ascii="仿宋" w:hAnsi="仿宋" w:eastAsia="仿宋" w:cs="仿宋"/>
                <w:sz w:val="24"/>
                <w:vertAlign w:val="superscript"/>
              </w:rPr>
              <w:t>#</w:t>
            </w:r>
            <w:r>
              <w:rPr>
                <w:rFonts w:hint="eastAsia" w:ascii="仿宋" w:hAnsi="仿宋" w:eastAsia="仿宋" w:cs="仿宋"/>
                <w:sz w:val="24"/>
              </w:rPr>
              <w:t>6炉高压变频器</w:t>
            </w:r>
          </w:p>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rPr>
              <w:t>旁路柜维保</w:t>
            </w:r>
          </w:p>
        </w:tc>
        <w:tc>
          <w:tcPr>
            <w:tcW w:w="1770" w:type="dxa"/>
            <w:shd w:val="clear" w:color="auto" w:fill="auto"/>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kern w:val="2"/>
                <w:sz w:val="24"/>
                <w:szCs w:val="24"/>
                <w:highlight w:val="none"/>
                <w:lang w:val="en-US" w:eastAsia="zh-CN" w:bidi="ar-SA"/>
              </w:rPr>
            </w:pPr>
          </w:p>
        </w:tc>
        <w:tc>
          <w:tcPr>
            <w:tcW w:w="57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kern w:val="2"/>
                <w:sz w:val="24"/>
                <w:szCs w:val="24"/>
                <w:highlight w:val="none"/>
                <w:lang w:val="en-US" w:eastAsia="zh-CN" w:bidi="ar-SA"/>
              </w:rPr>
            </w:pPr>
          </w:p>
        </w:tc>
        <w:tc>
          <w:tcPr>
            <w:tcW w:w="7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sz w:val="24"/>
              </w:rPr>
              <w:t>台</w:t>
            </w:r>
          </w:p>
        </w:tc>
        <w:tc>
          <w:tcPr>
            <w:tcW w:w="7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sz w:val="24"/>
              </w:rPr>
              <w:t>清灰、检查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6</w:t>
            </w:r>
          </w:p>
        </w:tc>
        <w:tc>
          <w:tcPr>
            <w:tcW w:w="19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color w:val="auto"/>
                <w:sz w:val="24"/>
                <w:vertAlign w:val="superscript"/>
              </w:rPr>
              <w:t>#</w:t>
            </w:r>
            <w:r>
              <w:rPr>
                <w:rFonts w:hint="eastAsia" w:ascii="仿宋" w:hAnsi="仿宋" w:eastAsia="仿宋" w:cs="仿宋"/>
                <w:color w:val="auto"/>
                <w:sz w:val="24"/>
              </w:rPr>
              <w:t>6炉</w:t>
            </w:r>
            <w:r>
              <w:rPr>
                <w:rFonts w:hint="eastAsia" w:ascii="仿宋" w:hAnsi="仿宋" w:eastAsia="仿宋" w:cs="仿宋"/>
                <w:color w:val="auto"/>
                <w:sz w:val="24"/>
                <w:lang w:val="en-US" w:eastAsia="zh-CN"/>
              </w:rPr>
              <w:t>风机</w:t>
            </w:r>
            <w:r>
              <w:rPr>
                <w:rFonts w:hint="eastAsia" w:ascii="仿宋" w:hAnsi="仿宋" w:eastAsia="仿宋" w:cs="仿宋"/>
                <w:color w:val="auto"/>
                <w:sz w:val="24"/>
              </w:rPr>
              <w:t>高压变频器调试</w:t>
            </w:r>
          </w:p>
        </w:tc>
        <w:tc>
          <w:tcPr>
            <w:tcW w:w="1770" w:type="dxa"/>
            <w:shd w:val="clear" w:color="auto" w:fill="auto"/>
            <w:vAlign w:val="center"/>
          </w:tcPr>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sz w:val="24"/>
              </w:rPr>
              <w:t>高压变频HIVERT-Y06/220</w:t>
            </w:r>
          </w:p>
          <w:p>
            <w:pPr>
              <w:keepNext w:val="0"/>
              <w:keepLines w:val="0"/>
              <w:widowControl/>
              <w:suppressLineNumbers w:val="0"/>
              <w:snapToGrid w:val="0"/>
              <w:spacing w:before="0" w:beforeAutospacing="0" w:after="0" w:afterAutospacing="0"/>
              <w:ind w:left="0" w:leftChars="0" w:right="0" w:rightChars="0" w:firstLine="0" w:firstLineChars="0"/>
              <w:jc w:val="left"/>
              <w:textAlignment w:val="center"/>
              <w:rPr>
                <w:rFonts w:hint="eastAsia" w:ascii="仿宋" w:hAnsi="仿宋" w:eastAsia="仿宋" w:cs="仿宋"/>
                <w:color w:val="auto"/>
                <w:sz w:val="24"/>
              </w:rPr>
            </w:pPr>
            <w:r>
              <w:rPr>
                <w:rFonts w:hint="eastAsia" w:ascii="仿宋" w:hAnsi="仿宋" w:eastAsia="仿宋" w:cs="仿宋"/>
                <w:color w:val="auto"/>
                <w:sz w:val="24"/>
              </w:rPr>
              <w:t>高压变频HIVERT-Y06/154</w:t>
            </w:r>
          </w:p>
          <w:p>
            <w:pPr>
              <w:keepNext w:val="0"/>
              <w:keepLines w:val="0"/>
              <w:widowControl/>
              <w:suppressLineNumbers w:val="0"/>
              <w:snapToGrid w:val="0"/>
              <w:spacing w:before="0" w:beforeAutospacing="0" w:after="0" w:afterAutospacing="0"/>
              <w:ind w:left="0" w:right="0"/>
              <w:jc w:val="left"/>
              <w:textAlignment w:val="center"/>
              <w:rPr>
                <w:rFonts w:hint="eastAsia" w:ascii="仿宋" w:hAnsi="仿宋" w:eastAsia="仿宋" w:cs="仿宋"/>
                <w:sz w:val="24"/>
                <w:highlight w:val="none"/>
                <w:lang w:val="en-US" w:eastAsia="zh-CN"/>
              </w:rPr>
            </w:pPr>
            <w:r>
              <w:rPr>
                <w:rFonts w:hint="eastAsia" w:ascii="仿宋" w:hAnsi="仿宋" w:eastAsia="仿宋" w:cs="仿宋"/>
                <w:color w:val="auto"/>
                <w:sz w:val="24"/>
              </w:rPr>
              <w:t>高压变频HIVERT-Y06/096</w:t>
            </w:r>
          </w:p>
        </w:tc>
        <w:tc>
          <w:tcPr>
            <w:tcW w:w="57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color w:val="auto"/>
                <w:sz w:val="24"/>
              </w:rPr>
              <w:t>套</w:t>
            </w:r>
          </w:p>
        </w:tc>
        <w:tc>
          <w:tcPr>
            <w:tcW w:w="7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shd w:val="clear" w:color="auto" w:fill="auto"/>
            <w:vAlign w:val="center"/>
          </w:tcPr>
          <w:p>
            <w:pPr>
              <w:keepNext w:val="0"/>
              <w:keepLines w:val="0"/>
              <w:suppressLineNumbers w:val="0"/>
              <w:snapToGrid w:val="0"/>
              <w:spacing w:before="0" w:beforeAutospacing="0" w:after="0" w:afterAutospacing="0" w:line="240" w:lineRule="auto"/>
              <w:ind w:left="0" w:leftChars="0" w:right="0" w:rightChars="0" w:firstLine="0" w:firstLineChars="0"/>
              <w:jc w:val="center"/>
              <w:rPr>
                <w:rFonts w:hint="eastAsia" w:ascii="仿宋" w:hAnsi="仿宋" w:eastAsia="仿宋" w:cs="仿宋"/>
                <w:sz w:val="24"/>
                <w:highlight w:val="none"/>
                <w:lang w:val="en-US" w:eastAsia="zh-CN"/>
              </w:rPr>
            </w:pPr>
            <w:r>
              <w:rPr>
                <w:rFonts w:hint="eastAsia" w:ascii="仿宋" w:hAnsi="仿宋" w:eastAsia="仿宋" w:cs="仿宋"/>
                <w:color w:val="auto"/>
                <w:sz w:val="24"/>
              </w:rPr>
              <w:t>提供调试报告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0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9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w:t>
            </w:r>
          </w:p>
        </w:tc>
        <w:tc>
          <w:tcPr>
            <w:tcW w:w="177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570"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765"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c>
          <w:tcPr>
            <w:tcW w:w="2752" w:type="dxa"/>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cs="仿宋"/>
                <w:sz w:val="24"/>
                <w:highlight w:val="none"/>
                <w:lang w:val="en-US" w:eastAsia="zh-CN"/>
              </w:rPr>
            </w:pPr>
          </w:p>
        </w:tc>
      </w:tr>
    </w:tbl>
    <w:p>
      <w:pPr>
        <w:pStyle w:val="12"/>
        <w:rPr>
          <w:rFonts w:hint="default"/>
          <w:lang w:val="en-US" w:eastAsia="zh-CN"/>
        </w:rPr>
      </w:pPr>
    </w:p>
    <w:p>
      <w:pPr>
        <w:pStyle w:val="31"/>
        <w:rPr>
          <w:rFonts w:hint="eastAsia" w:ascii="仿宋" w:hAnsi="仿宋" w:eastAsia="仿宋" w:cs="仿宋"/>
          <w:highlight w:val="none"/>
          <w:lang w:val="en-US" w:eastAsia="zh-CN"/>
        </w:rPr>
      </w:pPr>
      <w:r>
        <w:rPr>
          <w:rFonts w:hint="eastAsia" w:ascii="仿宋" w:hAnsi="仿宋" w:eastAsia="仿宋" w:cs="仿宋"/>
          <w:sz w:val="24"/>
          <w:highlight w:val="none"/>
          <w:lang w:val="en-US" w:eastAsia="zh-CN"/>
        </w:rPr>
        <w:t>注：投标人</w:t>
      </w:r>
      <w:r>
        <w:rPr>
          <w:rFonts w:hint="eastAsia" w:ascii="仿宋" w:hAnsi="仿宋" w:eastAsia="仿宋" w:cs="仿宋"/>
          <w:sz w:val="24"/>
          <w:highlight w:val="none"/>
        </w:rPr>
        <w:t>提供详细供货清单，清单中依次说明型号、数量、产地、生产厂家等内容。对于属于整套设备运行和施工所必需的部件，即使本</w:t>
      </w:r>
      <w:r>
        <w:rPr>
          <w:rFonts w:hint="eastAsia" w:ascii="仿宋" w:hAnsi="仿宋" w:eastAsia="仿宋" w:cs="仿宋"/>
          <w:sz w:val="24"/>
          <w:highlight w:val="none"/>
          <w:lang w:val="en-US" w:eastAsia="zh-CN"/>
        </w:rPr>
        <w:t>表</w:t>
      </w:r>
      <w:r>
        <w:rPr>
          <w:rFonts w:hint="eastAsia" w:ascii="仿宋" w:hAnsi="仿宋" w:eastAsia="仿宋" w:cs="仿宋"/>
          <w:sz w:val="24"/>
          <w:highlight w:val="none"/>
        </w:rPr>
        <w:t>未列出和/或数目不足，</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方仍在执行的同时免费补足</w:t>
      </w:r>
      <w:r>
        <w:rPr>
          <w:rFonts w:hint="eastAsia" w:ascii="仿宋" w:hAnsi="仿宋" w:eastAsia="仿宋" w:cs="仿宋"/>
          <w:sz w:val="24"/>
          <w:highlight w:val="none"/>
          <w:lang w:eastAsia="zh-CN"/>
        </w:rPr>
        <w:t>。</w:t>
      </w:r>
    </w:p>
    <w:p>
      <w:pPr>
        <w:pStyle w:val="31"/>
        <w:rPr>
          <w:rFonts w:hint="default"/>
          <w:highlight w:val="none"/>
          <w:lang w:val="en-US" w:eastAsia="zh-CN"/>
        </w:rPr>
      </w:pPr>
    </w:p>
    <w:p>
      <w:pPr>
        <w:pStyle w:val="15"/>
        <w:spacing w:line="4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p>
    <w:p>
      <w:pPr>
        <w:pStyle w:val="15"/>
        <w:spacing w:line="520" w:lineRule="exact"/>
        <w:jc w:val="center"/>
        <w:rPr>
          <w:rFonts w:hint="eastAsia" w:ascii="仿宋_GB2312" w:hAnsi="仿宋" w:eastAsia="仿宋_GB2312"/>
          <w:b/>
          <w:sz w:val="36"/>
          <w:highlight w:val="none"/>
          <w:lang w:eastAsia="zh-CN"/>
        </w:rPr>
      </w:pPr>
      <w:r>
        <w:rPr>
          <w:rFonts w:hint="eastAsia" w:ascii="仿宋_GB2312" w:hAnsi="仿宋" w:eastAsia="仿宋_GB2312" w:cs="Times New Roman"/>
          <w:b/>
          <w:sz w:val="36"/>
          <w:highlight w:val="none"/>
          <w:lang w:val="en-US" w:eastAsia="zh-CN"/>
        </w:rPr>
        <w:t>变频器所有备品备件及材料费用清单</w:t>
      </w:r>
      <w:r>
        <w:rPr>
          <w:rFonts w:hint="eastAsia" w:ascii="仿宋_GB2312" w:hAnsi="仿宋" w:eastAsia="仿宋_GB2312"/>
          <w:b/>
          <w:sz w:val="36"/>
          <w:highlight w:val="none"/>
          <w:lang w:eastAsia="zh-CN"/>
        </w:rPr>
        <w:t>（</w:t>
      </w:r>
      <w:r>
        <w:rPr>
          <w:rFonts w:hint="eastAsia" w:ascii="仿宋_GB2312" w:hAnsi="仿宋" w:eastAsia="仿宋_GB2312"/>
          <w:b/>
          <w:sz w:val="36"/>
          <w:highlight w:val="none"/>
          <w:lang w:val="en-US" w:eastAsia="zh-CN"/>
        </w:rPr>
        <w:t>不限于此</w:t>
      </w:r>
      <w:r>
        <w:rPr>
          <w:rFonts w:hint="eastAsia" w:ascii="仿宋_GB2312" w:hAnsi="仿宋" w:eastAsia="仿宋_GB2312"/>
          <w:b/>
          <w:sz w:val="36"/>
          <w:highlight w:val="none"/>
          <w:lang w:eastAsia="zh-CN"/>
        </w:rPr>
        <w:t>）</w:t>
      </w:r>
    </w:p>
    <w:p>
      <w:pPr>
        <w:rPr>
          <w:rFonts w:hint="eastAsia" w:ascii="仿宋" w:hAnsi="仿宋" w:eastAsia="仿宋" w:cs="仿宋"/>
          <w:highlight w:val="none"/>
        </w:rPr>
      </w:pPr>
    </w:p>
    <w:tbl>
      <w:tblPr>
        <w:tblStyle w:val="32"/>
        <w:tblW w:w="966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9"/>
        <w:gridCol w:w="1934"/>
        <w:gridCol w:w="885"/>
        <w:gridCol w:w="870"/>
        <w:gridCol w:w="795"/>
        <w:gridCol w:w="795"/>
        <w:gridCol w:w="96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5" w:hRule="exact"/>
          <w:jc w:val="center"/>
        </w:trPr>
        <w:tc>
          <w:tcPr>
            <w:tcW w:w="2329" w:type="dxa"/>
            <w:noWrap w:val="0"/>
            <w:vAlign w:val="center"/>
          </w:tcPr>
          <w:p>
            <w:pPr>
              <w:pStyle w:val="15"/>
              <w:keepNext w:val="0"/>
              <w:keepLines w:val="0"/>
              <w:suppressLineNumbers w:val="0"/>
              <w:tabs>
                <w:tab w:val="right" w:pos="3219"/>
              </w:tabs>
              <w:spacing w:before="0" w:beforeAutospacing="0" w:after="0" w:afterAutospacing="0" w:line="360" w:lineRule="exact"/>
              <w:ind w:left="0" w:right="0"/>
              <w:jc w:val="center"/>
              <w:rPr>
                <w:rFonts w:hint="eastAsia" w:ascii="仿宋_GB2312" w:hAnsi="仿宋" w:eastAsia="仿宋_GB2312"/>
                <w:sz w:val="28"/>
                <w:szCs w:val="28"/>
                <w:highlight w:val="none"/>
              </w:rPr>
            </w:pPr>
            <w:r>
              <w:rPr>
                <w:rFonts w:hint="eastAsia" w:ascii="仿宋_GB2312" w:hAnsi="仿宋" w:eastAsia="仿宋_GB2312"/>
                <w:sz w:val="28"/>
                <w:szCs w:val="28"/>
                <w:highlight w:val="none"/>
              </w:rPr>
              <w:t>备品备件</w:t>
            </w:r>
            <w:r>
              <w:rPr>
                <w:rFonts w:hint="eastAsia" w:ascii="仿宋_GB2312" w:hAnsi="仿宋" w:eastAsia="仿宋_GB2312"/>
                <w:sz w:val="28"/>
                <w:szCs w:val="28"/>
                <w:highlight w:val="none"/>
                <w:lang w:val="en-US" w:eastAsia="zh-CN"/>
              </w:rPr>
              <w:t>或材料</w:t>
            </w:r>
            <w:r>
              <w:rPr>
                <w:rFonts w:hint="eastAsia" w:ascii="仿宋_GB2312" w:hAnsi="仿宋" w:eastAsia="仿宋_GB2312"/>
                <w:sz w:val="28"/>
                <w:szCs w:val="28"/>
                <w:highlight w:val="none"/>
              </w:rPr>
              <w:t>名称</w:t>
            </w:r>
          </w:p>
        </w:tc>
        <w:tc>
          <w:tcPr>
            <w:tcW w:w="1934"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rPr>
            </w:pPr>
            <w:r>
              <w:rPr>
                <w:rFonts w:hint="eastAsia" w:ascii="仿宋_GB2312" w:hAnsi="仿宋" w:eastAsia="仿宋_GB2312"/>
                <w:sz w:val="28"/>
                <w:szCs w:val="28"/>
                <w:highlight w:val="none"/>
              </w:rPr>
              <w:t>规格型号</w:t>
            </w:r>
          </w:p>
        </w:tc>
        <w:tc>
          <w:tcPr>
            <w:tcW w:w="885"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单位</w:t>
            </w:r>
          </w:p>
        </w:tc>
        <w:tc>
          <w:tcPr>
            <w:tcW w:w="870"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rPr>
            </w:pPr>
            <w:r>
              <w:rPr>
                <w:rFonts w:hint="eastAsia" w:ascii="仿宋_GB2312" w:hAnsi="仿宋" w:eastAsia="仿宋_GB2312"/>
                <w:sz w:val="28"/>
                <w:szCs w:val="28"/>
                <w:highlight w:val="none"/>
              </w:rPr>
              <w:t>数量</w:t>
            </w:r>
          </w:p>
        </w:tc>
        <w:tc>
          <w:tcPr>
            <w:tcW w:w="795"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单价</w:t>
            </w:r>
          </w:p>
        </w:tc>
        <w:tc>
          <w:tcPr>
            <w:tcW w:w="795"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rPr>
            </w:pPr>
            <w:r>
              <w:rPr>
                <w:rFonts w:hint="eastAsia" w:ascii="仿宋_GB2312" w:hAnsi="仿宋" w:eastAsia="仿宋_GB2312"/>
                <w:sz w:val="28"/>
                <w:szCs w:val="28"/>
                <w:highlight w:val="none"/>
              </w:rPr>
              <w:t>产地</w:t>
            </w:r>
          </w:p>
        </w:tc>
        <w:tc>
          <w:tcPr>
            <w:tcW w:w="960"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rPr>
            </w:pPr>
            <w:r>
              <w:rPr>
                <w:rFonts w:hint="eastAsia" w:ascii="仿宋_GB2312" w:hAnsi="仿宋" w:eastAsia="仿宋_GB2312"/>
                <w:sz w:val="28"/>
                <w:szCs w:val="28"/>
                <w:highlight w:val="none"/>
              </w:rPr>
              <w:t>品牌</w:t>
            </w:r>
          </w:p>
        </w:tc>
        <w:tc>
          <w:tcPr>
            <w:tcW w:w="1095" w:type="dxa"/>
            <w:noWrap w:val="0"/>
            <w:vAlign w:val="center"/>
          </w:tcPr>
          <w:p>
            <w:pPr>
              <w:pStyle w:val="15"/>
              <w:keepNext w:val="0"/>
              <w:keepLines w:val="0"/>
              <w:suppressLineNumbers w:val="0"/>
              <w:spacing w:before="0" w:beforeAutospacing="0" w:after="0" w:afterAutospacing="0" w:line="360" w:lineRule="exact"/>
              <w:ind w:left="0" w:right="0"/>
              <w:jc w:val="center"/>
              <w:rPr>
                <w:rFonts w:hint="eastAsia" w:ascii="仿宋_GB2312" w:hAnsi="仿宋" w:eastAsia="仿宋_GB2312"/>
                <w:sz w:val="28"/>
                <w:szCs w:val="28"/>
                <w:highlight w:val="none"/>
                <w:lang w:val="en-US" w:eastAsia="zh-CN"/>
              </w:rPr>
            </w:pPr>
            <w:r>
              <w:rPr>
                <w:rFonts w:hint="eastAsia" w:ascii="仿宋_GB2312" w:hAnsi="仿宋" w:eastAsia="仿宋_GB2312"/>
                <w:sz w:val="28"/>
                <w:szCs w:val="28"/>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default"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w:t>
            </w: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default"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w:t>
            </w: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exact"/>
          <w:jc w:val="center"/>
        </w:trPr>
        <w:tc>
          <w:tcPr>
            <w:tcW w:w="2329" w:type="dxa"/>
            <w:noWrap w:val="0"/>
            <w:vAlign w:val="top"/>
          </w:tcPr>
          <w:p>
            <w:pPr>
              <w:pStyle w:val="15"/>
              <w:keepNext w:val="0"/>
              <w:keepLines w:val="0"/>
              <w:suppressLineNumbers w:val="0"/>
              <w:spacing w:before="0" w:beforeAutospacing="0" w:after="0" w:afterAutospacing="0" w:line="360" w:lineRule="exact"/>
              <w:ind w:left="0" w:right="0"/>
              <w:rPr>
                <w:rFonts w:hint="default" w:ascii="仿宋_GB2312" w:hAnsi="仿宋" w:eastAsia="仿宋_GB2312"/>
                <w:sz w:val="30"/>
                <w:szCs w:val="30"/>
                <w:highlight w:val="none"/>
                <w:lang w:val="en-US" w:eastAsia="zh-CN"/>
              </w:rPr>
            </w:pPr>
            <w:r>
              <w:rPr>
                <w:rFonts w:hint="eastAsia" w:ascii="仿宋_GB2312" w:hAnsi="仿宋" w:eastAsia="仿宋_GB2312"/>
                <w:sz w:val="30"/>
                <w:szCs w:val="30"/>
                <w:highlight w:val="none"/>
                <w:lang w:val="en-US" w:eastAsia="zh-CN"/>
              </w:rPr>
              <w:t>合计</w:t>
            </w:r>
          </w:p>
        </w:tc>
        <w:tc>
          <w:tcPr>
            <w:tcW w:w="1934"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8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87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7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960"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c>
          <w:tcPr>
            <w:tcW w:w="1095" w:type="dxa"/>
            <w:noWrap w:val="0"/>
            <w:vAlign w:val="top"/>
          </w:tcPr>
          <w:p>
            <w:pPr>
              <w:pStyle w:val="15"/>
              <w:keepNext w:val="0"/>
              <w:keepLines w:val="0"/>
              <w:suppressLineNumbers w:val="0"/>
              <w:spacing w:before="0" w:beforeAutospacing="0" w:after="0" w:afterAutospacing="0" w:line="360" w:lineRule="exact"/>
              <w:ind w:left="0" w:right="0"/>
              <w:rPr>
                <w:rFonts w:hint="eastAsia" w:ascii="仿宋_GB2312" w:hAnsi="仿宋" w:eastAsia="仿宋_GB2312"/>
                <w:sz w:val="30"/>
                <w:szCs w:val="30"/>
                <w:highlight w:val="none"/>
              </w:rPr>
            </w:pPr>
          </w:p>
        </w:tc>
      </w:tr>
    </w:tbl>
    <w:p>
      <w:pPr>
        <w:rPr>
          <w:rFonts w:hint="eastAsia" w:ascii="仿宋" w:hAnsi="仿宋" w:eastAsia="仿宋" w:cs="仿宋"/>
          <w:highlight w:val="none"/>
        </w:rPr>
      </w:pPr>
    </w:p>
    <w:p>
      <w:pPr>
        <w:rPr>
          <w:rFonts w:hint="eastAsia" w:ascii="仿宋" w:hAnsi="仿宋" w:eastAsia="仿宋" w:cs="仿宋"/>
          <w:highlight w:val="none"/>
        </w:rPr>
      </w:pPr>
    </w:p>
    <w:p>
      <w:pPr>
        <w:widowControl/>
        <w:spacing w:line="48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投标人（盖电子公章）： </w:t>
      </w:r>
    </w:p>
    <w:p>
      <w:pPr>
        <w:widowControl/>
        <w:spacing w:line="48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法定代表人（盖电子法人章）： </w:t>
      </w:r>
    </w:p>
    <w:p>
      <w:pPr>
        <w:keepNext w:val="0"/>
        <w:keepLines w:val="0"/>
        <w:pageBreakBefore/>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color w:val="000000" w:themeColor="text1"/>
          <w:sz w:val="36"/>
          <w:szCs w:val="20"/>
          <w:highlight w:val="none"/>
          <w14:textFill>
            <w14:solidFill>
              <w14:schemeClr w14:val="tx1"/>
            </w14:solidFill>
          </w14:textFill>
        </w:rPr>
      </w:pPr>
      <w:r>
        <w:rPr>
          <w:rFonts w:hint="eastAsia" w:ascii="仿宋" w:hAnsi="仿宋" w:eastAsia="仿宋" w:cs="仿宋"/>
          <w:b/>
          <w:color w:val="000000" w:themeColor="text1"/>
          <w:sz w:val="36"/>
          <w:szCs w:val="20"/>
          <w:highlight w:val="none"/>
          <w14:textFill>
            <w14:solidFill>
              <w14:schemeClr w14:val="tx1"/>
            </w14:solidFill>
          </w14:textFill>
        </w:rPr>
        <w:t>有效的营业执照副本扫描件</w:t>
      </w: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27"/>
        <w:rPr>
          <w:rFonts w:hint="eastAsia" w:ascii="仿宋" w:hAnsi="仿宋" w:eastAsia="仿宋" w:cs="仿宋"/>
          <w:b/>
          <w:color w:val="000000" w:themeColor="text1"/>
          <w:sz w:val="36"/>
          <w:szCs w:val="20"/>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color w:val="000000" w:themeColor="text1"/>
          <w:sz w:val="36"/>
          <w:highlight w:val="none"/>
          <w14:textFill>
            <w14:solidFill>
              <w14:schemeClr w14:val="tx1"/>
            </w14:solidFill>
          </w14:textFill>
        </w:rPr>
        <w:t>法定代表人资格证明书</w:t>
      </w:r>
    </w:p>
    <w:p>
      <w:pPr>
        <w:pStyle w:val="15"/>
        <w:spacing w:line="520" w:lineRule="exact"/>
        <w:jc w:val="center"/>
        <w:rPr>
          <w:rFonts w:hint="eastAsia" w:ascii="仿宋" w:hAnsi="仿宋" w:eastAsia="仿宋" w:cs="仿宋"/>
          <w:b/>
          <w:color w:val="000000" w:themeColor="text1"/>
          <w:sz w:val="36"/>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u w:val="singl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r>
        <w:rPr>
          <w:rFonts w:hint="eastAsia" w:ascii="仿宋" w:hAnsi="仿宋" w:eastAsia="仿宋" w:cs="仿宋"/>
          <w:color w:val="000000" w:themeColor="text1"/>
          <w:sz w:val="28"/>
          <w:szCs w:val="28"/>
          <w:highlight w:val="none"/>
          <w:u w:val="single"/>
          <w14:textFill>
            <w14:solidFill>
              <w14:schemeClr w14:val="tx1"/>
            </w14:solidFill>
          </w14:textFill>
        </w:rPr>
        <w:t>                       </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  </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的法定代表人。</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投标单位：</w:t>
      </w:r>
      <w:r>
        <w:rPr>
          <w:rFonts w:hint="eastAsia" w:ascii="仿宋" w:hAnsi="仿宋" w:eastAsia="仿宋" w:cs="仿宋"/>
          <w:color w:val="000000" w:themeColor="text1"/>
          <w:sz w:val="28"/>
          <w:szCs w:val="28"/>
          <w:highlight w:val="none"/>
          <w:u w:val="single"/>
          <w14:textFill>
            <w14:solidFill>
              <w14:schemeClr w14:val="tx1"/>
            </w14:solidFill>
          </w14:textFill>
        </w:rPr>
        <w:t>　　　　                 </w:t>
      </w:r>
      <w:r>
        <w:rPr>
          <w:rFonts w:hint="eastAsia" w:ascii="仿宋" w:hAnsi="仿宋" w:eastAsia="仿宋" w:cs="仿宋"/>
          <w:color w:val="000000" w:themeColor="text1"/>
          <w:sz w:val="28"/>
          <w:szCs w:val="28"/>
          <w:highlight w:val="none"/>
          <w14:textFill>
            <w14:solidFill>
              <w14:schemeClr w14:val="tx1"/>
            </w14:solidFill>
          </w14:textFill>
        </w:rPr>
        <w:t>（盖电子公章）</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日期：</w:t>
      </w:r>
      <w:r>
        <w:rPr>
          <w:rFonts w:hint="eastAsia" w:ascii="仿宋" w:hAnsi="仿宋" w:eastAsia="仿宋" w:cs="仿宋"/>
          <w:color w:val="000000" w:themeColor="text1"/>
          <w:sz w:val="28"/>
          <w:szCs w:val="28"/>
          <w:highlight w:val="none"/>
          <w:u w:val="single"/>
          <w14:textFill>
            <w14:solidFill>
              <w14:schemeClr w14:val="tx1"/>
            </w14:solidFill>
          </w14:textFill>
        </w:rPr>
        <w:t>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w:t>
      </w:r>
      <w:r>
        <w:rPr>
          <w:rFonts w:hint="eastAsia" w:ascii="仿宋" w:hAnsi="仿宋" w:eastAsia="仿宋" w:cs="仿宋"/>
          <w:color w:val="000000" w:themeColor="text1"/>
          <w:sz w:val="28"/>
          <w:szCs w:val="28"/>
          <w:highlight w:val="none"/>
          <w14:textFill>
            <w14:solidFill>
              <w14:schemeClr w14:val="tx1"/>
            </w14:solidFill>
          </w14:textFill>
        </w:rPr>
        <w:t>日</w:t>
      </w: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法人身份证正反面扫描件</w:t>
      </w:r>
      <w:r>
        <w:rPr>
          <w:rFonts w:hint="eastAsia" w:ascii="仿宋" w:hAnsi="仿宋" w:eastAsia="仿宋" w:cs="仿宋"/>
          <w:color w:val="000000" w:themeColor="text1"/>
          <w:sz w:val="28"/>
          <w:szCs w:val="28"/>
          <w:highlight w:val="none"/>
          <w14:textFill>
            <w14:solidFill>
              <w14:schemeClr w14:val="tx1"/>
            </w14:solidFill>
          </w14:textFill>
        </w:rPr>
        <w:t>附后。</w:t>
      </w:r>
    </w:p>
    <w:p>
      <w:pPr>
        <w:spacing w:line="460" w:lineRule="exact"/>
        <w:rPr>
          <w:rFonts w:hint="eastAsia" w:ascii="仿宋" w:hAnsi="仿宋" w:eastAsia="仿宋" w:cs="仿宋"/>
          <w:b/>
          <w:bCs/>
          <w:color w:val="000000" w:themeColor="text1"/>
          <w:sz w:val="28"/>
          <w:szCs w:val="28"/>
          <w:highlight w:val="none"/>
          <w14:textFill>
            <w14:solidFill>
              <w14:schemeClr w14:val="tx1"/>
            </w14:solidFill>
          </w14:textFill>
        </w:rPr>
      </w:pPr>
    </w:p>
    <w:p>
      <w:pPr>
        <w:spacing w:line="460" w:lineRule="exact"/>
        <w:rPr>
          <w:rFonts w:hint="eastAsia" w:ascii="仿宋" w:hAnsi="仿宋" w:eastAsia="仿宋" w:cs="仿宋"/>
          <w:b/>
          <w:bCs/>
          <w:color w:val="000000" w:themeColor="text1"/>
          <w:sz w:val="28"/>
          <w:szCs w:val="28"/>
          <w:highlight w:val="none"/>
          <w14:textFill>
            <w14:solidFill>
              <w14:schemeClr w14:val="tx1"/>
            </w14:solidFill>
          </w14:textFill>
        </w:rPr>
      </w:pPr>
    </w:p>
    <w:p>
      <w:pPr>
        <w:spacing w:line="460" w:lineRule="exact"/>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12"/>
        <w:rPr>
          <w:rFonts w:hint="eastAsia" w:ascii="仿宋" w:hAnsi="仿宋" w:eastAsia="仿宋" w:cs="仿宋"/>
          <w:b/>
          <w:bCs/>
          <w:color w:val="000000" w:themeColor="text1"/>
          <w:sz w:val="28"/>
          <w:szCs w:val="28"/>
          <w:highlight w:val="none"/>
          <w14:textFill>
            <w14:solidFill>
              <w14:schemeClr w14:val="tx1"/>
            </w14:solidFill>
          </w14:textFill>
        </w:rPr>
      </w:pPr>
    </w:p>
    <w:p>
      <w:pPr>
        <w:pStyle w:val="6"/>
        <w:ind w:firstLine="0"/>
        <w:rPr>
          <w:rFonts w:hint="eastAsia" w:ascii="仿宋" w:hAnsi="仿宋" w:eastAsia="仿宋" w:cs="仿宋"/>
          <w:b/>
          <w:bCs/>
          <w:color w:val="000000" w:themeColor="text1"/>
          <w:sz w:val="28"/>
          <w:szCs w:val="28"/>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color w:val="000000" w:themeColor="text1"/>
          <w:sz w:val="36"/>
          <w:highlight w:val="none"/>
          <w14:textFill>
            <w14:solidFill>
              <w14:schemeClr w14:val="tx1"/>
            </w14:solidFill>
          </w14:textFill>
        </w:rPr>
        <w:t>法人授权委托书</w:t>
      </w:r>
    </w:p>
    <w:p>
      <w:pPr>
        <w:pStyle w:val="15"/>
        <w:spacing w:line="520" w:lineRule="exact"/>
        <w:ind w:firstLine="1110"/>
        <w:jc w:val="center"/>
        <w:rPr>
          <w:rFonts w:hint="eastAsia" w:ascii="仿宋" w:hAnsi="仿宋" w:eastAsia="仿宋" w:cs="仿宋"/>
          <w:b/>
          <w:bCs/>
          <w:color w:val="000000" w:themeColor="text1"/>
          <w:sz w:val="28"/>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国家或地区的名称</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公司名称</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法人代表姓名、职务</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被授权单位名称</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被授权人的姓名、职务</w:t>
      </w:r>
      <w:r>
        <w:rPr>
          <w:rFonts w:hint="eastAsia" w:ascii="仿宋" w:hAnsi="仿宋" w:eastAsia="仿宋" w:cs="仿宋"/>
          <w:color w:val="000000" w:themeColor="text1"/>
          <w:sz w:val="28"/>
          <w:szCs w:val="28"/>
          <w:highlight w:val="none"/>
          <w:u w:val="single"/>
          <w:lang w:eastAsia="zh-CN"/>
          <w14:textFill>
            <w14:solidFill>
              <w14:schemeClr w14:val="tx1"/>
            </w14:solidFill>
          </w14:textFill>
        </w:rPr>
        <w:t>）</w:t>
      </w:r>
      <w:r>
        <w:rPr>
          <w:rFonts w:hint="eastAsia" w:ascii="仿宋" w:hAnsi="仿宋" w:eastAsia="仿宋" w:cs="仿宋"/>
          <w:color w:val="000000" w:themeColor="text1"/>
          <w:sz w:val="28"/>
          <w:szCs w:val="28"/>
          <w:highlight w:val="none"/>
          <w14:textFill>
            <w14:solidFill>
              <w14:schemeClr w14:val="tx1"/>
            </w14:solidFill>
          </w14:textFill>
        </w:rPr>
        <w:t>为本公司的合法代理人，参加编号为</w:t>
      </w:r>
      <w:r>
        <w:rPr>
          <w:rFonts w:hint="eastAsia" w:ascii="仿宋" w:hAnsi="仿宋" w:eastAsia="仿宋" w:cs="仿宋"/>
          <w:color w:val="000000" w:themeColor="text1"/>
          <w:sz w:val="28"/>
          <w:szCs w:val="28"/>
          <w:highlight w:val="none"/>
          <w:u w:val="single"/>
          <w:lang w:val="en-US" w:eastAsia="zh-CN"/>
          <w14:textFill>
            <w14:solidFill>
              <w14:schemeClr w14:val="tx1"/>
            </w14:solidFill>
          </w14:textFill>
        </w:rPr>
        <w:t>2026-025</w:t>
      </w:r>
      <w:r>
        <w:rPr>
          <w:rFonts w:hint="eastAsia" w:ascii="仿宋" w:hAnsi="仿宋" w:eastAsia="仿宋" w:cs="仿宋"/>
          <w:color w:val="000000" w:themeColor="text1"/>
          <w:sz w:val="28"/>
          <w:szCs w:val="28"/>
          <w:highlight w:val="none"/>
          <w14:textFill>
            <w14:solidFill>
              <w14:schemeClr w14:val="tx1"/>
            </w14:solidFill>
          </w14:textFill>
        </w:rPr>
        <w:t>号的公开招标采购活动，以本公司名义处理一切与之有关的事宜。</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如果本公司在此次采购活动中成交，被授权人有权代表本公司签署采购合同。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日法定代表人盖章并由单位盖章生效，特此声明。</w:t>
      </w:r>
    </w:p>
    <w:p>
      <w:pPr>
        <w:pStyle w:val="15"/>
        <w:keepNext w:val="0"/>
        <w:keepLines w:val="0"/>
        <w:pageBreakBefore w:val="0"/>
        <w:widowControl w:val="0"/>
        <w:kinsoku/>
        <w:wordWrap/>
        <w:overflowPunct/>
        <w:topLinePunct w:val="0"/>
        <w:autoSpaceDE/>
        <w:autoSpaceDN/>
        <w:bidi w:val="0"/>
        <w:adjustRightInd/>
        <w:snapToGrid/>
        <w:spacing w:line="560" w:lineRule="exact"/>
        <w:ind w:firstLine="6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被授权人无转委托权。</w:t>
      </w:r>
    </w:p>
    <w:p>
      <w:pPr>
        <w:pStyle w:val="15"/>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r>
        <w:rPr>
          <w:rFonts w:hint="eastAsia" w:ascii="仿宋" w:hAnsi="仿宋" w:eastAsia="仿宋" w:cs="仿宋"/>
          <w:color w:val="000000" w:themeColor="text1"/>
          <w:sz w:val="28"/>
          <w:szCs w:val="28"/>
          <w:highlight w:val="none"/>
          <w:lang w:eastAsia="zh-CN"/>
          <w14:textFill>
            <w14:solidFill>
              <w14:schemeClr w14:val="tx1"/>
            </w14:solidFill>
          </w14:textFill>
        </w:rPr>
        <w:t>：</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pPr>
        <w:pStyle w:val="15"/>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法定代表人（盖电子法人章）：</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tbl>
      <w:tblPr>
        <w:tblStyle w:val="32"/>
        <w:tblpPr w:leftFromText="180" w:rightFromText="180" w:vertAnchor="text" w:horzAnchor="page" w:tblpX="2871" w:tblpY="337"/>
        <w:tblOverlap w:val="never"/>
        <w:tblW w:w="63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5" w:hRule="atLeast"/>
        </w:trPr>
        <w:tc>
          <w:tcPr>
            <w:tcW w:w="6333" w:type="dxa"/>
            <w:vAlign w:val="center"/>
          </w:tcPr>
          <w:p>
            <w:pPr>
              <w:pStyle w:val="28"/>
              <w:keepNext w:val="0"/>
              <w:keepLines w:val="0"/>
              <w:suppressLineNumbers w:val="0"/>
              <w:spacing w:before="0" w:after="0" w:line="360" w:lineRule="auto"/>
              <w:ind w:left="0" w:right="0"/>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kern w:val="2"/>
                <w:sz w:val="30"/>
                <w:szCs w:val="30"/>
                <w:highlight w:val="none"/>
                <w14:textFill>
                  <w14:solidFill>
                    <w14:schemeClr w14:val="tx1"/>
                  </w14:solidFill>
                </w14:textFill>
              </w:rPr>
              <w:t>（</w:t>
            </w:r>
            <w:r>
              <w:rPr>
                <w:rFonts w:hint="eastAsia" w:ascii="仿宋" w:hAnsi="仿宋" w:eastAsia="仿宋" w:cs="仿宋"/>
                <w:color w:val="000000" w:themeColor="text1"/>
                <w:kern w:val="2"/>
                <w:sz w:val="28"/>
                <w:szCs w:val="28"/>
                <w:highlight w:val="none"/>
                <w:lang w:val="en-US" w:eastAsia="zh-CN" w:bidi="ar-SA"/>
                <w14:textFill>
                  <w14:solidFill>
                    <w14:schemeClr w14:val="tx1"/>
                  </w14:solidFill>
                </w14:textFill>
              </w:rPr>
              <w:t>被授权人身份证正反面扫描件</w:t>
            </w:r>
            <w:r>
              <w:rPr>
                <w:rFonts w:hint="eastAsia" w:ascii="仿宋" w:hAnsi="仿宋" w:eastAsia="仿宋" w:cs="仿宋"/>
                <w:color w:val="000000" w:themeColor="text1"/>
                <w:kern w:val="2"/>
                <w:sz w:val="30"/>
                <w:szCs w:val="30"/>
                <w:highlight w:val="none"/>
                <w14:textFill>
                  <w14:solidFill>
                    <w14:schemeClr w14:val="tx1"/>
                  </w14:solidFill>
                </w14:textFill>
              </w:rPr>
              <w:t>）</w:t>
            </w:r>
          </w:p>
        </w:tc>
      </w:tr>
    </w:tbl>
    <w:p>
      <w:pPr>
        <w:pStyle w:val="15"/>
        <w:spacing w:line="520" w:lineRule="exact"/>
        <w:ind w:firstLine="560" w:firstLineChars="200"/>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30"/>
          <w:szCs w:val="30"/>
          <w:highlight w:val="none"/>
          <w:u w:val="single"/>
          <w14:textFill>
            <w14:solidFill>
              <w14:schemeClr w14:val="tx1"/>
            </w14:solidFill>
          </w14:textFill>
        </w:rPr>
        <w:t xml:space="preserve">           </w:t>
      </w:r>
    </w:p>
    <w:p>
      <w:pPr>
        <w:pStyle w:val="15"/>
        <w:spacing w:line="520" w:lineRule="exact"/>
        <w:rPr>
          <w:rFonts w:hint="eastAsia" w:ascii="仿宋" w:hAnsi="仿宋" w:eastAsia="仿宋" w:cs="仿宋"/>
          <w:color w:val="000000" w:themeColor="text1"/>
          <w:sz w:val="30"/>
          <w:szCs w:val="30"/>
          <w:highlight w:val="none"/>
          <w14:textFill>
            <w14:solidFill>
              <w14:schemeClr w14:val="tx1"/>
            </w14:solidFill>
          </w14:textFill>
        </w:rPr>
      </w:pPr>
    </w:p>
    <w:p>
      <w:pPr>
        <w:pStyle w:val="15"/>
        <w:spacing w:line="520" w:lineRule="exact"/>
        <w:rPr>
          <w:rFonts w:hint="eastAsia" w:ascii="仿宋" w:hAnsi="仿宋" w:eastAsia="仿宋" w:cs="仿宋"/>
          <w:b/>
          <w:color w:val="000000" w:themeColor="text1"/>
          <w:sz w:val="36"/>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highlight w:val="none"/>
          <w14:textFill>
            <w14:solidFill>
              <w14:schemeClr w14:val="tx1"/>
            </w14:solidFill>
          </w14:textFill>
        </w:rPr>
      </w:pPr>
    </w:p>
    <w:p>
      <w:pPr>
        <w:pStyle w:val="15"/>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注：1.若法定代表人参加投标，此表可不填；</w:t>
      </w:r>
    </w:p>
    <w:p>
      <w:pPr>
        <w:pStyle w:val="15"/>
        <w:spacing w:line="520" w:lineRule="exact"/>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2.后附被授权人在本公司的社保证明材料。</w:t>
      </w: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keepNext w:val="0"/>
        <w:keepLines w:val="0"/>
        <w:pageBreakBefore/>
        <w:widowControl w:val="0"/>
        <w:tabs>
          <w:tab w:val="left" w:pos="580"/>
        </w:tabs>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投标人及其法定代表人、委托代理人未被最高法院列入失信被执行人情况查询截图</w:t>
      </w:r>
    </w:p>
    <w:p>
      <w:pPr>
        <w:pStyle w:val="28"/>
        <w:keepNext w:val="0"/>
        <w:keepLines w:val="0"/>
        <w:pageBreakBefore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color w:val="000000" w:themeColor="text1"/>
          <w:sz w:val="28"/>
          <w:szCs w:val="28"/>
          <w:highlight w:val="none"/>
          <w:lang w:val="en-US" w:eastAsia="zh-CN"/>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查询网址（http://zxgk.court.gov.cn/shixin/），查询的省份为全部；</w:t>
      </w: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keepNext w:val="0"/>
        <w:keepLines w:val="0"/>
        <w:pageBreakBefore/>
        <w:widowControl w:val="0"/>
        <w:tabs>
          <w:tab w:val="left" w:pos="580"/>
        </w:tabs>
        <w:kinsoku/>
        <w:wordWrap/>
        <w:overflowPunct/>
        <w:topLinePunct w:val="0"/>
        <w:autoSpaceDE/>
        <w:autoSpaceDN/>
        <w:bidi w:val="0"/>
        <w:adjustRightInd/>
        <w:snapToGrid/>
        <w:spacing w:line="360" w:lineRule="auto"/>
        <w:jc w:val="center"/>
        <w:textAlignment w:val="auto"/>
        <w:rPr>
          <w:rFonts w:hint="default" w:ascii="仿宋" w:hAnsi="仿宋" w:eastAsia="仿宋" w:cs="仿宋"/>
          <w:b/>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投标人信用情况</w:t>
      </w:r>
    </w:p>
    <w:p>
      <w:pPr>
        <w:rPr>
          <w:rFonts w:hint="eastAsia" w:ascii="仿宋" w:hAnsi="仿宋" w:eastAsia="仿宋" w:cs="仿宋"/>
          <w:bCs/>
          <w:color w:val="000000" w:themeColor="text1"/>
          <w:kern w:val="0"/>
          <w:sz w:val="28"/>
          <w:szCs w:val="36"/>
          <w:highlight w:val="none"/>
          <w:lang w:val="en-US" w:eastAsia="zh-CN"/>
          <w14:textFill>
            <w14:solidFill>
              <w14:schemeClr w14:val="tx1"/>
            </w14:solidFill>
          </w14:textFill>
        </w:rPr>
      </w:pPr>
      <w:r>
        <w:rPr>
          <w:rFonts w:hint="eastAsia" w:ascii="仿宋" w:hAnsi="仿宋" w:eastAsia="仿宋" w:cs="仿宋"/>
          <w:bCs/>
          <w:color w:val="000000" w:themeColor="text1"/>
          <w:kern w:val="0"/>
          <w:sz w:val="28"/>
          <w:szCs w:val="36"/>
          <w:highlight w:val="none"/>
          <w:lang w:val="en-US" w:eastAsia="zh-CN"/>
          <w14:textFill>
            <w14:solidFill>
              <w14:schemeClr w14:val="tx1"/>
            </w14:solidFill>
          </w14:textFill>
        </w:rPr>
        <w:t>附信用中国或信用中国（山东）查询的信用报告；</w:t>
      </w:r>
    </w:p>
    <w:p>
      <w:pPr>
        <w:rPr>
          <w:rFonts w:hint="eastAsia" w:ascii="仿宋" w:hAnsi="仿宋" w:eastAsia="仿宋" w:cs="仿宋"/>
          <w:bCs/>
          <w:color w:val="000000" w:themeColor="text1"/>
          <w:kern w:val="0"/>
          <w:sz w:val="28"/>
          <w:szCs w:val="36"/>
          <w:highlight w:val="none"/>
          <w14:textFill>
            <w14:solidFill>
              <w14:schemeClr w14:val="tx1"/>
            </w14:solidFill>
          </w14:textFill>
        </w:rPr>
      </w:pPr>
      <w:r>
        <w:rPr>
          <w:rFonts w:hint="eastAsia" w:ascii="仿宋" w:hAnsi="仿宋" w:eastAsia="仿宋" w:cs="仿宋"/>
          <w:bCs/>
          <w:color w:val="000000" w:themeColor="text1"/>
          <w:kern w:val="0"/>
          <w:sz w:val="28"/>
          <w:szCs w:val="36"/>
          <w:highlight w:val="none"/>
          <w14:textFill>
            <w14:solidFill>
              <w14:schemeClr w14:val="tx1"/>
            </w14:solidFill>
          </w14:textFill>
        </w:rPr>
        <w:t>信用</w:t>
      </w:r>
      <w:r>
        <w:rPr>
          <w:rFonts w:hint="eastAsia" w:ascii="仿宋" w:hAnsi="仿宋" w:eastAsia="仿宋" w:cs="仿宋"/>
          <w:bCs/>
          <w:color w:val="000000" w:themeColor="text1"/>
          <w:kern w:val="0"/>
          <w:sz w:val="28"/>
          <w:szCs w:val="36"/>
          <w:highlight w:val="none"/>
          <w:lang w:val="en-US" w:eastAsia="zh-CN"/>
          <w14:textFill>
            <w14:solidFill>
              <w14:schemeClr w14:val="tx1"/>
            </w14:solidFill>
          </w14:textFill>
        </w:rPr>
        <w:t>信息</w:t>
      </w:r>
      <w:r>
        <w:rPr>
          <w:rFonts w:hint="eastAsia" w:ascii="仿宋" w:hAnsi="仿宋" w:eastAsia="仿宋" w:cs="仿宋"/>
          <w:bCs/>
          <w:color w:val="000000" w:themeColor="text1"/>
          <w:kern w:val="0"/>
          <w:sz w:val="28"/>
          <w:szCs w:val="36"/>
          <w:highlight w:val="none"/>
          <w14:textFill>
            <w14:solidFill>
              <w14:schemeClr w14:val="tx1"/>
            </w14:solidFill>
          </w14:textFill>
        </w:rPr>
        <w:t>报告查询方式：</w:t>
      </w:r>
    </w:p>
    <w:p>
      <w:pPr>
        <w:rPr>
          <w:rFonts w:hint="eastAsia" w:ascii="仿宋" w:hAnsi="仿宋" w:eastAsia="仿宋" w:cs="仿宋"/>
          <w:bCs/>
          <w:color w:val="000000" w:themeColor="text1"/>
          <w:kern w:val="0"/>
          <w:sz w:val="28"/>
          <w:szCs w:val="36"/>
          <w:highlight w:val="none"/>
          <w14:textFill>
            <w14:solidFill>
              <w14:schemeClr w14:val="tx1"/>
            </w14:solidFill>
          </w14:textFill>
        </w:rPr>
      </w:pPr>
      <w:r>
        <w:rPr>
          <w:rFonts w:hint="eastAsia" w:ascii="仿宋" w:hAnsi="仿宋" w:eastAsia="仿宋" w:cs="仿宋"/>
          <w:bCs/>
          <w:color w:val="000000" w:themeColor="text1"/>
          <w:kern w:val="0"/>
          <w:sz w:val="28"/>
          <w:szCs w:val="36"/>
          <w:highlight w:val="none"/>
          <w14:textFill>
            <w14:solidFill>
              <w14:schemeClr w14:val="tx1"/>
            </w14:solidFill>
          </w14:textFill>
        </w:rPr>
        <w:t>信用中国查询方式：</w:t>
      </w:r>
      <w:r>
        <w:rPr>
          <w:rFonts w:hint="eastAsia" w:ascii="仿宋" w:hAnsi="仿宋" w:eastAsia="仿宋" w:cs="仿宋"/>
          <w:bCs/>
          <w:color w:val="000000" w:themeColor="text1"/>
          <w:kern w:val="0"/>
          <w:sz w:val="28"/>
          <w:szCs w:val="36"/>
          <w:highlight w:val="none"/>
          <w:lang w:eastAsia="zh-CN"/>
          <w14:textFill>
            <w14:solidFill>
              <w14:schemeClr w14:val="tx1"/>
            </w14:solidFill>
          </w14:textFill>
        </w:rPr>
        <w:t>登录</w:t>
      </w:r>
      <w:r>
        <w:rPr>
          <w:rFonts w:hint="eastAsia" w:ascii="仿宋" w:hAnsi="仿宋" w:eastAsia="仿宋" w:cs="仿宋"/>
          <w:bCs/>
          <w:color w:val="000000" w:themeColor="text1"/>
          <w:kern w:val="0"/>
          <w:sz w:val="28"/>
          <w:szCs w:val="36"/>
          <w:highlight w:val="none"/>
          <w14:textFill>
            <w14:solidFill>
              <w14:schemeClr w14:val="tx1"/>
            </w14:solidFill>
          </w14:textFill>
        </w:rPr>
        <w:t>“信用中国”（www.creditchina.gov.cn）网站→在首页右上方“信用信息”查询框内输入查询企业名称/统一社会信用代码等信息查询→点击要查询的企业→“下载信用信息报告”。</w:t>
      </w:r>
    </w:p>
    <w:p>
      <w:pPr>
        <w:rPr>
          <w:rFonts w:hint="eastAsia" w:ascii="仿宋" w:hAnsi="仿宋" w:eastAsia="仿宋" w:cs="仿宋"/>
          <w:color w:val="000000" w:themeColor="text1"/>
          <w:sz w:val="28"/>
          <w:szCs w:val="36"/>
          <w:highlight w:val="none"/>
          <w:lang w:val="en-US" w:eastAsia="zh-CN"/>
          <w14:textFill>
            <w14:solidFill>
              <w14:schemeClr w14:val="tx1"/>
            </w14:solidFill>
          </w14:textFill>
        </w:rPr>
      </w:pPr>
      <w:r>
        <w:rPr>
          <w:rFonts w:hint="eastAsia" w:ascii="仿宋" w:hAnsi="仿宋" w:eastAsia="仿宋" w:cs="仿宋"/>
          <w:bCs/>
          <w:color w:val="000000" w:themeColor="text1"/>
          <w:kern w:val="0"/>
          <w:sz w:val="28"/>
          <w:szCs w:val="36"/>
          <w:highlight w:val="none"/>
          <w14:textFill>
            <w14:solidFill>
              <w14:schemeClr w14:val="tx1"/>
            </w14:solidFill>
          </w14:textFill>
        </w:rPr>
        <w:t>信用中国（山东）查询方式：登陆“信用中国（山东）“（credit.shandong.gov.cn）网站→在首页上方“信用中国信息查询”查询框内输入查询企业名称/统一社会信用代码等信息查询→点击要查询的企业→“下载信用信息报告”。</w:t>
      </w: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tabs>
          <w:tab w:val="left" w:pos="2146"/>
        </w:tabs>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color w:val="000000" w:themeColor="text1"/>
          <w:sz w:val="36"/>
          <w:highlight w:val="none"/>
          <w14:textFill>
            <w14:solidFill>
              <w14:schemeClr w14:val="tx1"/>
            </w14:solidFill>
          </w14:textFill>
        </w:rPr>
        <w:t>投标人参与投标的声明函</w:t>
      </w: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我单位郑重承诺如下：</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1.在中华人民共和国境内注册并合法运作的独立法人机构；</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2.具有良好的商业信誉和健全的财务会计制度；</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3.具有履行合同的能力，并能提供优质的服务；</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4.提供的方案质量保证、性能可靠、技术合格；</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5.参加本次招标采购活动前三年内，在经营活动中没有重大违法记录；</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6.法定代表人为同一个人的两个及两个以上法人、母公司、全资子公司及其控股公司，只能有一家单位参加投标；</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7.如我单位中标，我单位承诺不分包或转包本项目。</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lang w:val="en-US" w:eastAsia="zh-CN"/>
          <w14:textFill>
            <w14:solidFill>
              <w14:schemeClr w14:val="tx1"/>
            </w14:solidFill>
          </w14:textFill>
        </w:rPr>
        <w:t>8.我单位完全响应招标人在《第四部分 采购项目说明》中提出的技术规范、付款方式、工期（服务期/供货期）、质保期等全部要求。</w:t>
      </w:r>
    </w:p>
    <w:p>
      <w:pPr>
        <w:pStyle w:val="15"/>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若我单位提供虚假承诺，我单位同意所递交的投标文件作无效处理，并愿意接受通报，按照有关法律法规规定接受处罚，由此造成的一切经济责任和法律责任由我单位自行承担。</w:t>
      </w:r>
    </w:p>
    <w:p>
      <w:pPr>
        <w:spacing w:line="52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rPr>
          <w:rFonts w:hint="eastAsia" w:ascii="仿宋" w:hAnsi="仿宋" w:eastAsia="仿宋" w:cs="仿宋"/>
          <w:color w:val="000000" w:themeColor="text1"/>
          <w:sz w:val="28"/>
          <w:szCs w:val="28"/>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pStyle w:val="15"/>
        <w:spacing w:line="50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spacing w:line="360" w:lineRule="exact"/>
        <w:ind w:right="1120"/>
        <w:jc w:val="center"/>
        <w:rPr>
          <w:rFonts w:hint="eastAsia" w:ascii="仿宋" w:hAnsi="仿宋" w:eastAsia="仿宋" w:cs="仿宋"/>
          <w:color w:val="000000" w:themeColor="text1"/>
          <w:sz w:val="24"/>
          <w:highlight w:val="none"/>
          <w14:textFill>
            <w14:solidFill>
              <w14:schemeClr w14:val="tx1"/>
            </w14:solidFill>
          </w14:textFill>
        </w:rPr>
      </w:pPr>
    </w:p>
    <w:p>
      <w:pPr>
        <w:spacing w:line="360" w:lineRule="exact"/>
        <w:ind w:right="1120"/>
        <w:jc w:val="center"/>
        <w:rPr>
          <w:rFonts w:hint="eastAsia" w:ascii="仿宋" w:hAnsi="仿宋" w:eastAsia="仿宋" w:cs="仿宋"/>
          <w:color w:val="000000" w:themeColor="text1"/>
          <w:sz w:val="24"/>
          <w:highlight w:val="none"/>
          <w14:textFill>
            <w14:solidFill>
              <w14:schemeClr w14:val="tx1"/>
            </w14:solidFill>
          </w14:textFill>
        </w:rPr>
      </w:pPr>
    </w:p>
    <w:p>
      <w:pPr>
        <w:spacing w:line="360" w:lineRule="exact"/>
        <w:ind w:right="1120"/>
        <w:jc w:val="center"/>
        <w:rPr>
          <w:rFonts w:hint="eastAsia" w:ascii="仿宋" w:hAnsi="仿宋" w:eastAsia="仿宋" w:cs="仿宋"/>
          <w:color w:val="000000" w:themeColor="text1"/>
          <w:sz w:val="24"/>
          <w:highlight w:val="none"/>
          <w14:textFill>
            <w14:solidFill>
              <w14:schemeClr w14:val="tx1"/>
            </w14:solidFill>
          </w14:textFill>
        </w:rPr>
      </w:pPr>
    </w:p>
    <w:p>
      <w:pPr>
        <w:spacing w:line="360" w:lineRule="exact"/>
        <w:ind w:right="1120"/>
        <w:jc w:val="both"/>
        <w:rPr>
          <w:rFonts w:hint="eastAsia" w:ascii="仿宋" w:hAnsi="仿宋" w:eastAsia="仿宋" w:cs="仿宋"/>
          <w:color w:val="000000" w:themeColor="text1"/>
          <w:sz w:val="24"/>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outlineLvl w:val="9"/>
        <w:rPr>
          <w:rFonts w:hint="eastAsia" w:ascii="仿宋" w:hAnsi="仿宋" w:eastAsia="仿宋" w:cs="仿宋"/>
          <w:b/>
          <w:color w:val="000000" w:themeColor="text1"/>
          <w:sz w:val="36"/>
          <w:highlight w:val="none"/>
          <w14:textFill>
            <w14:solidFill>
              <w14:schemeClr w14:val="tx1"/>
            </w14:solidFill>
          </w14:textFill>
        </w:rPr>
      </w:pPr>
      <w:bookmarkStart w:id="63" w:name="_Toc6811"/>
      <w:bookmarkStart w:id="64" w:name="_Toc8487"/>
      <w:r>
        <w:rPr>
          <w:rFonts w:hint="eastAsia" w:ascii="仿宋" w:hAnsi="仿宋" w:eastAsia="仿宋" w:cs="仿宋"/>
          <w:b/>
          <w:color w:val="000000" w:themeColor="text1"/>
          <w:sz w:val="36"/>
          <w:highlight w:val="none"/>
          <w14:textFill>
            <w14:solidFill>
              <w14:schemeClr w14:val="tx1"/>
            </w14:solidFill>
          </w14:textFill>
        </w:rPr>
        <w:t>交纳投标保证金的证明材料</w:t>
      </w:r>
      <w:bookmarkEnd w:id="63"/>
      <w:bookmarkEnd w:id="64"/>
    </w:p>
    <w:p>
      <w:pPr>
        <w:pStyle w:val="15"/>
        <w:spacing w:line="520" w:lineRule="exact"/>
        <w:jc w:val="center"/>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color w:val="000000" w:themeColor="text1"/>
          <w:sz w:val="36"/>
          <w:highlight w:val="none"/>
          <w14:textFill>
            <w14:solidFill>
              <w14:schemeClr w14:val="tx1"/>
            </w14:solidFill>
          </w14:textFill>
        </w:rPr>
        <w:t>（电汇凭证或电子汇款截图扫描件均可）</w:t>
      </w: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pStyle w:val="15"/>
        <w:rPr>
          <w:rFonts w:hint="eastAsia" w:ascii="仿宋" w:hAnsi="仿宋" w:eastAsia="仿宋" w:cs="仿宋"/>
          <w:color w:val="000000" w:themeColor="text1"/>
          <w:sz w:val="24"/>
          <w:szCs w:val="24"/>
          <w:highlight w:val="none"/>
          <w14:textFill>
            <w14:solidFill>
              <w14:schemeClr w14:val="tx1"/>
            </w14:solidFill>
          </w14:textFill>
        </w:rPr>
      </w:pPr>
    </w:p>
    <w:p>
      <w:pPr>
        <w:rPr>
          <w:rFonts w:hint="eastAsia" w:ascii="仿宋" w:hAnsi="仿宋" w:eastAsia="仿宋" w:cs="仿宋"/>
          <w:color w:val="000000" w:themeColor="text1"/>
          <w:sz w:val="24"/>
          <w:highlight w:val="none"/>
          <w14:textFill>
            <w14:solidFill>
              <w14:schemeClr w14:val="tx1"/>
            </w14:solidFill>
          </w14:textFill>
        </w:rPr>
      </w:pPr>
    </w:p>
    <w:p>
      <w:pPr>
        <w:pStyle w:val="15"/>
        <w:rPr>
          <w:rFonts w:hint="eastAsia" w:ascii="仿宋" w:hAnsi="仿宋" w:eastAsia="仿宋" w:cs="仿宋"/>
          <w:color w:val="000000" w:themeColor="text1"/>
          <w:sz w:val="24"/>
          <w:szCs w:val="24"/>
          <w:highlight w:val="none"/>
          <w14:textFill>
            <w14:solidFill>
              <w14:schemeClr w14:val="tx1"/>
            </w14:solidFill>
          </w14:textFill>
        </w:rPr>
      </w:pPr>
    </w:p>
    <w:p>
      <w:pPr>
        <w:rPr>
          <w:rFonts w:hint="eastAsia" w:ascii="仿宋" w:hAnsi="仿宋" w:eastAsia="仿宋" w:cs="仿宋"/>
          <w:color w:val="000000" w:themeColor="text1"/>
          <w:sz w:val="24"/>
          <w:highlight w:val="none"/>
          <w14:textFill>
            <w14:solidFill>
              <w14:schemeClr w14:val="tx1"/>
            </w14:solidFill>
          </w14:textFill>
        </w:rPr>
      </w:pPr>
    </w:p>
    <w:p>
      <w:pPr>
        <w:pStyle w:val="15"/>
        <w:rPr>
          <w:rFonts w:hint="eastAsia" w:ascii="仿宋" w:hAnsi="仿宋" w:eastAsia="仿宋" w:cs="仿宋"/>
          <w:color w:val="000000" w:themeColor="text1"/>
          <w:sz w:val="24"/>
          <w:szCs w:val="24"/>
          <w:highlight w:val="none"/>
          <w14:textFill>
            <w14:solidFill>
              <w14:schemeClr w14:val="tx1"/>
            </w14:solidFill>
          </w14:textFill>
        </w:rPr>
      </w:pPr>
    </w:p>
    <w:p>
      <w:pPr>
        <w:pStyle w:val="22"/>
        <w:tabs>
          <w:tab w:val="right" w:leader="dot" w:pos="8985"/>
          <w:tab w:val="clear" w:pos="9060"/>
        </w:tabs>
        <w:rPr>
          <w:rFonts w:hint="eastAsia" w:ascii="仿宋" w:hAnsi="仿宋" w:eastAsia="仿宋" w:cs="仿宋"/>
          <w:color w:val="000000" w:themeColor="text1"/>
          <w:sz w:val="24"/>
          <w:szCs w:val="24"/>
          <w:highlight w:val="none"/>
          <w14:textFill>
            <w14:solidFill>
              <w14:schemeClr w14:val="tx1"/>
            </w14:solidFill>
          </w14:textFill>
        </w:rPr>
      </w:pPr>
    </w:p>
    <w:p>
      <w:pPr>
        <w:rPr>
          <w:rFonts w:hint="eastAsia" w:ascii="仿宋" w:hAnsi="仿宋" w:eastAsia="仿宋" w:cs="仿宋"/>
          <w:color w:val="000000" w:themeColor="text1"/>
          <w:sz w:val="24"/>
          <w:highlight w:val="none"/>
          <w14:textFill>
            <w14:solidFill>
              <w14:schemeClr w14:val="tx1"/>
            </w14:solidFill>
          </w14:textFill>
        </w:rPr>
      </w:pPr>
    </w:p>
    <w:p>
      <w:pPr>
        <w:pStyle w:val="22"/>
        <w:tabs>
          <w:tab w:val="right" w:leader="dot" w:pos="8985"/>
          <w:tab w:val="clear" w:pos="9060"/>
        </w:tabs>
        <w:rPr>
          <w:rFonts w:hint="eastAsia" w:ascii="仿宋" w:hAnsi="仿宋" w:eastAsia="仿宋" w:cs="仿宋"/>
          <w:color w:val="000000" w:themeColor="text1"/>
          <w:sz w:val="24"/>
          <w:szCs w:val="24"/>
          <w:highlight w:val="none"/>
          <w14:textFill>
            <w14:solidFill>
              <w14:schemeClr w14:val="tx1"/>
            </w14:solidFill>
          </w14:textFill>
        </w:rPr>
      </w:pPr>
    </w:p>
    <w:p>
      <w:pPr>
        <w:rPr>
          <w:rFonts w:hint="eastAsia" w:ascii="仿宋" w:hAnsi="仿宋" w:eastAsia="仿宋" w:cs="仿宋"/>
          <w:color w:val="000000" w:themeColor="text1"/>
          <w:sz w:val="24"/>
          <w:highlight w:val="none"/>
          <w14:textFill>
            <w14:solidFill>
              <w14:schemeClr w14:val="tx1"/>
            </w14:solidFill>
          </w14:textFill>
        </w:rPr>
      </w:pPr>
    </w:p>
    <w:p>
      <w:pPr>
        <w:rPr>
          <w:rFonts w:hint="eastAsia" w:ascii="仿宋" w:hAnsi="仿宋" w:eastAsia="仿宋" w:cs="仿宋"/>
          <w:color w:val="000000" w:themeColor="text1"/>
          <w:sz w:val="24"/>
          <w:highlight w:val="none"/>
          <w14:textFill>
            <w14:solidFill>
              <w14:schemeClr w14:val="tx1"/>
            </w14:solidFill>
          </w14:textFill>
        </w:rPr>
      </w:pPr>
    </w:p>
    <w:p>
      <w:pPr>
        <w:pStyle w:val="27"/>
        <w:rPr>
          <w:rFonts w:hint="eastAsia" w:ascii="仿宋" w:hAnsi="仿宋" w:eastAsia="仿宋" w:cs="仿宋"/>
          <w:color w:val="000000" w:themeColor="text1"/>
          <w:highlight w:val="none"/>
          <w14:textFill>
            <w14:solidFill>
              <w14:schemeClr w14:val="tx1"/>
            </w14:solidFill>
          </w14:textFill>
        </w:rPr>
      </w:pPr>
    </w:p>
    <w:p>
      <w:pPr>
        <w:pStyle w:val="22"/>
        <w:tabs>
          <w:tab w:val="right" w:leader="dot" w:pos="8985"/>
          <w:tab w:val="clear" w:pos="9060"/>
        </w:tabs>
        <w:rPr>
          <w:rFonts w:hint="eastAsia" w:ascii="仿宋" w:hAnsi="仿宋" w:eastAsia="仿宋" w:cs="仿宋"/>
          <w:color w:val="000000" w:themeColor="text1"/>
          <w:sz w:val="24"/>
          <w:szCs w:val="24"/>
          <w:highlight w:val="none"/>
          <w14:textFill>
            <w14:solidFill>
              <w14:schemeClr w14:val="tx1"/>
            </w14:solidFill>
          </w14:textFill>
        </w:rPr>
      </w:pPr>
    </w:p>
    <w:p>
      <w:pPr>
        <w:snapToGrid w:val="0"/>
        <w:spacing w:line="360" w:lineRule="auto"/>
        <w:ind w:left="559" w:leftChars="266" w:firstLine="2400" w:firstLineChars="1000"/>
        <w:jc w:val="left"/>
        <w:rPr>
          <w:rFonts w:hint="eastAsia" w:ascii="仿宋" w:hAnsi="仿宋" w:eastAsia="仿宋" w:cs="仿宋"/>
          <w:color w:val="000000" w:themeColor="text1"/>
          <w:sz w:val="24"/>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投标人（盖电子公章）： </w:t>
      </w: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p>
    <w:p>
      <w:pPr>
        <w:snapToGrid w:val="0"/>
        <w:spacing w:line="360" w:lineRule="auto"/>
        <w:jc w:val="left"/>
        <w:rPr>
          <w:rFonts w:hint="eastAsia" w:ascii="仿宋" w:hAnsi="仿宋" w:eastAsia="仿宋" w:cs="仿宋"/>
          <w:b/>
          <w:bCs/>
          <w:color w:val="000000" w:themeColor="text1"/>
          <w:sz w:val="24"/>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bCs/>
          <w:color w:val="000000" w:themeColor="text1"/>
          <w:sz w:val="36"/>
          <w:szCs w:val="36"/>
          <w:highlight w:val="none"/>
          <w14:textFill>
            <w14:solidFill>
              <w14:schemeClr w14:val="tx1"/>
            </w14:solidFill>
          </w14:textFill>
        </w:rPr>
        <w:t>投标人认为</w:t>
      </w:r>
      <w:r>
        <w:rPr>
          <w:rFonts w:hint="eastAsia" w:ascii="仿宋" w:hAnsi="仿宋" w:eastAsia="仿宋" w:cs="仿宋"/>
          <w:b/>
          <w:color w:val="000000" w:themeColor="text1"/>
          <w:sz w:val="36"/>
          <w:highlight w:val="none"/>
          <w14:textFill>
            <w14:solidFill>
              <w14:schemeClr w14:val="tx1"/>
            </w14:solidFill>
          </w14:textFill>
        </w:rPr>
        <w:t>需要提供的</w:t>
      </w:r>
      <w:r>
        <w:rPr>
          <w:rFonts w:hint="eastAsia" w:ascii="仿宋" w:hAnsi="仿宋" w:eastAsia="仿宋" w:cs="仿宋"/>
          <w:b/>
          <w:color w:val="000000" w:themeColor="text1"/>
          <w:sz w:val="36"/>
          <w:highlight w:val="none"/>
          <w:lang w:val="en-US" w:eastAsia="zh-CN"/>
          <w14:textFill>
            <w14:solidFill>
              <w14:schemeClr w14:val="tx1"/>
            </w14:solidFill>
          </w14:textFill>
        </w:rPr>
        <w:t>其他</w:t>
      </w:r>
      <w:r>
        <w:rPr>
          <w:rFonts w:hint="eastAsia" w:ascii="仿宋" w:hAnsi="仿宋" w:eastAsia="仿宋" w:cs="仿宋"/>
          <w:b/>
          <w:color w:val="000000" w:themeColor="text1"/>
          <w:sz w:val="36"/>
          <w:highlight w:val="none"/>
          <w14:textFill>
            <w14:solidFill>
              <w14:schemeClr w14:val="tx1"/>
            </w14:solidFill>
          </w14:textFill>
        </w:rPr>
        <w:t>资质资格证明文件扫描件</w:t>
      </w: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rPr>
          <w:rFonts w:hint="eastAsia" w:ascii="仿宋" w:hAnsi="仿宋" w:eastAsia="仿宋" w:cs="仿宋"/>
          <w:b/>
          <w:bCs/>
          <w:color w:val="000000" w:themeColor="text1"/>
          <w:sz w:val="28"/>
          <w:szCs w:val="28"/>
          <w:highlight w:val="none"/>
          <w14:textFill>
            <w14:solidFill>
              <w14:schemeClr w14:val="tx1"/>
            </w14:solidFill>
          </w14:textFill>
        </w:rPr>
      </w:pPr>
    </w:p>
    <w:p>
      <w:pPr>
        <w:rPr>
          <w:rFonts w:hint="eastAsia" w:ascii="仿宋" w:hAnsi="仿宋" w:eastAsia="仿宋" w:cs="仿宋"/>
          <w:b/>
          <w:bCs/>
          <w:color w:val="000000" w:themeColor="text1"/>
          <w:sz w:val="28"/>
          <w:szCs w:val="28"/>
          <w:highlight w:val="none"/>
          <w14:textFill>
            <w14:solidFill>
              <w14:schemeClr w14:val="tx1"/>
            </w14:solidFill>
          </w14:textFill>
        </w:rPr>
      </w:pPr>
    </w:p>
    <w:p>
      <w:pPr>
        <w:pStyle w:val="27"/>
        <w:rPr>
          <w:rFonts w:hint="eastAsia" w:ascii="仿宋" w:hAnsi="仿宋" w:eastAsia="仿宋" w:cs="仿宋"/>
          <w:b/>
          <w:bCs/>
          <w:color w:val="000000" w:themeColor="text1"/>
          <w:sz w:val="28"/>
          <w:szCs w:val="28"/>
          <w:highlight w:val="none"/>
          <w14:textFill>
            <w14:solidFill>
              <w14:schemeClr w14:val="tx1"/>
            </w14:solidFill>
          </w14:textFill>
        </w:rPr>
      </w:pPr>
    </w:p>
    <w:p>
      <w:pPr>
        <w:pStyle w:val="27"/>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rPr>
          <w:rFonts w:hint="eastAsia" w:ascii="仿宋" w:hAnsi="仿宋" w:eastAsia="仿宋" w:cs="仿宋"/>
          <w:color w:val="000000" w:themeColor="text1"/>
          <w:sz w:val="28"/>
          <w:szCs w:val="28"/>
          <w:highlight w:val="none"/>
          <w14:textFill>
            <w14:solidFill>
              <w14:schemeClr w14:val="tx1"/>
            </w14:solidFill>
          </w14:textFill>
        </w:rPr>
      </w:pPr>
    </w:p>
    <w:p>
      <w:pPr>
        <w:pStyle w:val="6"/>
        <w:rPr>
          <w:rFonts w:hint="eastAsia" w:ascii="仿宋" w:hAnsi="仿宋" w:eastAsia="仿宋" w:cs="仿宋"/>
          <w:color w:val="000000" w:themeColor="text1"/>
          <w:sz w:val="28"/>
          <w:szCs w:val="28"/>
          <w:highlight w:val="none"/>
          <w14:textFill>
            <w14:solidFill>
              <w14:schemeClr w14:val="tx1"/>
            </w14:solidFill>
          </w14:textFill>
        </w:rPr>
      </w:pPr>
    </w:p>
    <w:p>
      <w:pPr>
        <w:pStyle w:val="6"/>
        <w:rPr>
          <w:rFonts w:hint="eastAsia" w:ascii="仿宋" w:hAnsi="仿宋" w:eastAsia="仿宋" w:cs="仿宋"/>
          <w:color w:val="000000" w:themeColor="text1"/>
          <w:sz w:val="28"/>
          <w:szCs w:val="28"/>
          <w:highlight w:val="none"/>
          <w14:textFill>
            <w14:solidFill>
              <w14:schemeClr w14:val="tx1"/>
            </w14:solidFill>
          </w14:textFill>
        </w:rPr>
      </w:pPr>
    </w:p>
    <w:p>
      <w:pPr>
        <w:pStyle w:val="15"/>
        <w:spacing w:line="520" w:lineRule="exact"/>
        <w:jc w:val="right"/>
        <w:rPr>
          <w:rFonts w:hint="eastAsia" w:ascii="仿宋" w:hAnsi="仿宋" w:eastAsia="仿宋" w:cs="仿宋"/>
          <w:b/>
          <w:bCs/>
          <w:color w:val="000000" w:themeColor="text1"/>
          <w:sz w:val="28"/>
          <w:szCs w:val="28"/>
          <w:highlight w:val="none"/>
          <w14:textFill>
            <w14:solidFill>
              <w14:schemeClr w14:val="tx1"/>
            </w14:solidFill>
          </w14:textFill>
        </w:rPr>
      </w:pPr>
    </w:p>
    <w:p>
      <w:pPr>
        <w:pStyle w:val="15"/>
        <w:spacing w:line="520" w:lineRule="exact"/>
        <w:jc w:val="center"/>
        <w:rPr>
          <w:rFonts w:hint="eastAsia" w:ascii="仿宋" w:hAnsi="仿宋" w:eastAsia="仿宋" w:cs="仿宋"/>
          <w:b/>
          <w:color w:val="000000" w:themeColor="text1"/>
          <w:sz w:val="36"/>
          <w:highlight w:val="none"/>
          <w14:textFill>
            <w14:solidFill>
              <w14:schemeClr w14:val="tx1"/>
            </w14:solidFill>
          </w14:textFill>
        </w:rPr>
      </w:pPr>
    </w:p>
    <w:p>
      <w:pPr>
        <w:pStyle w:val="15"/>
        <w:spacing w:line="520" w:lineRule="exact"/>
        <w:jc w:val="center"/>
        <w:rPr>
          <w:rFonts w:hint="eastAsia" w:ascii="仿宋_GB2312" w:hAnsi="仿宋" w:eastAsia="仿宋_GB2312"/>
          <w:b/>
          <w:color w:val="000000" w:themeColor="text1"/>
          <w:sz w:val="36"/>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color w:val="000000" w:themeColor="text1"/>
          <w:sz w:val="36"/>
          <w:highlight w:val="none"/>
          <w14:textFill>
            <w14:solidFill>
              <w14:schemeClr w14:val="tx1"/>
            </w14:solidFill>
          </w14:textFill>
        </w:rPr>
      </w:pPr>
      <w:r>
        <w:rPr>
          <w:rFonts w:hint="eastAsia" w:ascii="仿宋_GB2312" w:hAnsi="仿宋" w:eastAsia="仿宋_GB2312"/>
          <w:b/>
          <w:color w:val="000000" w:themeColor="text1"/>
          <w:sz w:val="36"/>
          <w:highlight w:val="none"/>
          <w14:textFill>
            <w14:solidFill>
              <w14:schemeClr w14:val="tx1"/>
            </w14:solidFill>
          </w14:textFill>
        </w:rPr>
        <w:t>投标人基本情况表</w:t>
      </w:r>
    </w:p>
    <w:tbl>
      <w:tblPr>
        <w:tblStyle w:val="32"/>
        <w:tblW w:w="887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647"/>
        <w:gridCol w:w="807"/>
        <w:gridCol w:w="858"/>
        <w:gridCol w:w="567"/>
        <w:gridCol w:w="539"/>
        <w:gridCol w:w="1675"/>
        <w:gridCol w:w="46"/>
        <w:gridCol w:w="503"/>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单位名称</w:t>
            </w:r>
          </w:p>
        </w:tc>
        <w:tc>
          <w:tcPr>
            <w:tcW w:w="2771" w:type="dxa"/>
            <w:gridSpan w:val="4"/>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224"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地址</w:t>
            </w:r>
          </w:p>
        </w:tc>
        <w:tc>
          <w:tcPr>
            <w:tcW w:w="16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办公电话/传真</w:t>
            </w:r>
          </w:p>
        </w:tc>
        <w:tc>
          <w:tcPr>
            <w:tcW w:w="2771" w:type="dxa"/>
            <w:gridSpan w:val="4"/>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224"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联系人</w:t>
            </w:r>
          </w:p>
        </w:tc>
        <w:tc>
          <w:tcPr>
            <w:tcW w:w="1665" w:type="dxa"/>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所属/主管部门</w:t>
            </w:r>
          </w:p>
        </w:tc>
        <w:tc>
          <w:tcPr>
            <w:tcW w:w="6660" w:type="dxa"/>
            <w:gridSpan w:val="8"/>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总经理</w:t>
            </w:r>
          </w:p>
        </w:tc>
        <w:tc>
          <w:tcPr>
            <w:tcW w:w="166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827" w:type="dxa"/>
            <w:gridSpan w:val="4"/>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固定办公面积（平米）</w:t>
            </w:r>
          </w:p>
        </w:tc>
        <w:tc>
          <w:tcPr>
            <w:tcW w:w="2168"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567" w:type="dxa"/>
            <w:vMerge w:val="restart"/>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注册情况</w:t>
            </w:r>
          </w:p>
        </w:tc>
        <w:tc>
          <w:tcPr>
            <w:tcW w:w="245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工商注册号</w:t>
            </w:r>
          </w:p>
        </w:tc>
        <w:tc>
          <w:tcPr>
            <w:tcW w:w="5853"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567" w:type="dxa"/>
            <w:vMerge w:val="continue"/>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45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注册资本（万元）</w:t>
            </w:r>
          </w:p>
        </w:tc>
        <w:tc>
          <w:tcPr>
            <w:tcW w:w="5853"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567" w:type="dxa"/>
            <w:vMerge w:val="continue"/>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45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法定代表人</w:t>
            </w:r>
          </w:p>
        </w:tc>
        <w:tc>
          <w:tcPr>
            <w:tcW w:w="142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单位类型</w:t>
            </w:r>
          </w:p>
        </w:tc>
        <w:tc>
          <w:tcPr>
            <w:tcW w:w="2214"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567" w:type="dxa"/>
            <w:vMerge w:val="continue"/>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45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成立时间</w:t>
            </w:r>
          </w:p>
        </w:tc>
        <w:tc>
          <w:tcPr>
            <w:tcW w:w="1425"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21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营业期限</w:t>
            </w:r>
          </w:p>
        </w:tc>
        <w:tc>
          <w:tcPr>
            <w:tcW w:w="2214"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6" w:hRule="atLeast"/>
          <w:jc w:val="center"/>
        </w:trPr>
        <w:tc>
          <w:tcPr>
            <w:tcW w:w="567" w:type="dxa"/>
            <w:vMerge w:val="continue"/>
            <w:textDirection w:val="tbRlV"/>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45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经营范围</w:t>
            </w:r>
          </w:p>
        </w:tc>
        <w:tc>
          <w:tcPr>
            <w:tcW w:w="5853"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jc w:val="center"/>
        </w:trPr>
        <w:tc>
          <w:tcPr>
            <w:tcW w:w="8874" w:type="dxa"/>
            <w:gridSpan w:val="1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投标企业情况简介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76" w:hRule="atLeast"/>
          <w:jc w:val="center"/>
        </w:trPr>
        <w:tc>
          <w:tcPr>
            <w:tcW w:w="8874" w:type="dxa"/>
            <w:gridSpan w:val="1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right="0"/>
              <w:jc w:val="center"/>
              <w:textAlignment w:val="auto"/>
              <w:rPr>
                <w:rFonts w:hint="eastAsia" w:ascii="仿宋_GB2312" w:hAnsi="仿宋" w:eastAsia="仿宋_GB2312" w:cs="Times New Roman"/>
                <w:color w:val="000000" w:themeColor="text1"/>
                <w:sz w:val="28"/>
                <w:szCs w:val="28"/>
                <w:highlight w:val="none"/>
                <w14:textFill>
                  <w14:solidFill>
                    <w14:schemeClr w14:val="tx1"/>
                  </w14:solidFill>
                </w14:textFill>
              </w:rPr>
            </w:pPr>
          </w:p>
        </w:tc>
      </w:tr>
    </w:tbl>
    <w:p>
      <w:pPr>
        <w:rPr>
          <w:rFonts w:hint="eastAsia" w:ascii="仿宋_GB2312" w:hAnsi="仿宋" w:eastAsia="仿宋_GB2312"/>
          <w:color w:val="000000" w:themeColor="text1"/>
          <w:sz w:val="28"/>
          <w:szCs w:val="28"/>
          <w:highlight w:val="none"/>
          <w14:textFill>
            <w14:solidFill>
              <w14:schemeClr w14:val="tx1"/>
            </w14:solidFill>
          </w14:textFill>
        </w:rPr>
      </w:pPr>
    </w:p>
    <w:p>
      <w:pPr>
        <w:pStyle w:val="27"/>
        <w:rPr>
          <w:rFonts w:hint="eastAsia" w:ascii="仿宋_GB2312" w:hAnsi="仿宋" w:eastAsia="仿宋_GB2312"/>
          <w:color w:val="000000" w:themeColor="text1"/>
          <w:sz w:val="28"/>
          <w:szCs w:val="28"/>
          <w:highlight w:val="none"/>
          <w14:textFill>
            <w14:solidFill>
              <w14:schemeClr w14:val="tx1"/>
            </w14:solidFill>
          </w14:textFill>
        </w:rPr>
      </w:pPr>
    </w:p>
    <w:p>
      <w:pPr>
        <w:pStyle w:val="27"/>
        <w:rPr>
          <w:rFonts w:hint="eastAsia" w:ascii="仿宋_GB2312" w:hAnsi="仿宋" w:eastAsia="仿宋_GB2312"/>
          <w:color w:val="000000" w:themeColor="text1"/>
          <w:sz w:val="28"/>
          <w:szCs w:val="28"/>
          <w:highlight w:val="none"/>
          <w14:textFill>
            <w14:solidFill>
              <w14:schemeClr w14:val="tx1"/>
            </w14:solidFill>
          </w14:textFill>
        </w:rPr>
      </w:pPr>
    </w:p>
    <w:p>
      <w:pPr>
        <w:pStyle w:val="15"/>
        <w:spacing w:line="460" w:lineRule="exact"/>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法定代表人（盖电子法人章）：</w:t>
      </w:r>
    </w:p>
    <w:p>
      <w:pPr>
        <w:rPr>
          <w:rFonts w:hint="eastAsia" w:ascii="仿宋_GB2312" w:hAnsi="仿宋" w:eastAsia="仿宋_GB2312"/>
          <w:color w:val="000000" w:themeColor="text1"/>
          <w:sz w:val="28"/>
          <w:szCs w:val="28"/>
          <w:highlight w:val="none"/>
          <w14:textFill>
            <w14:solidFill>
              <w14:schemeClr w14:val="tx1"/>
            </w14:solidFill>
          </w14:textFill>
        </w:rPr>
      </w:pP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szCs w:val="36"/>
          <w:highlight w:val="none"/>
          <w:lang w:eastAsia="zh-CN"/>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技术</w:t>
      </w:r>
      <w:r>
        <w:rPr>
          <w:rFonts w:hint="eastAsia" w:ascii="仿宋" w:hAnsi="仿宋" w:eastAsia="仿宋" w:cs="仿宋"/>
          <w:b/>
          <w:color w:val="000000" w:themeColor="text1"/>
          <w:sz w:val="36"/>
          <w:szCs w:val="36"/>
          <w:highlight w:val="none"/>
          <w:lang w:val="en-US" w:eastAsia="zh-CN"/>
          <w14:textFill>
            <w14:solidFill>
              <w14:schemeClr w14:val="tx1"/>
            </w14:solidFill>
          </w14:textFill>
        </w:rPr>
        <w:t>文件</w:t>
      </w: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同类项目业绩表</w:t>
      </w:r>
    </w:p>
    <w:p>
      <w:pPr>
        <w:jc w:val="center"/>
        <w:rPr>
          <w:rFonts w:hint="eastAsia"/>
          <w:color w:val="000000" w:themeColor="text1"/>
          <w:sz w:val="32"/>
          <w:szCs w:val="32"/>
          <w:highlight w:val="none"/>
          <w14:textFill>
            <w14:solidFill>
              <w14:schemeClr w14:val="tx1"/>
            </w14:solidFill>
          </w14:textFill>
        </w:rPr>
      </w:pPr>
    </w:p>
    <w:tbl>
      <w:tblPr>
        <w:tblStyle w:val="32"/>
        <w:tblW w:w="95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1620"/>
        <w:gridCol w:w="2235"/>
        <w:gridCol w:w="1500"/>
        <w:gridCol w:w="1383"/>
        <w:gridCol w:w="1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84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序号</w:t>
            </w: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用户名称</w:t>
            </w: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项目名称</w:t>
            </w: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合同金额</w:t>
            </w: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签订日期</w:t>
            </w: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28"/>
                <w:szCs w:val="28"/>
                <w:highlight w:val="none"/>
                <w:lang w:eastAsia="zh-CN"/>
                <w14:textFill>
                  <w14:solidFill>
                    <w14:schemeClr w14:val="tx1"/>
                  </w14:solidFill>
                </w14:textFill>
              </w:rPr>
            </w:pPr>
            <w:r>
              <w:rPr>
                <w:rFonts w:hint="eastAsia" w:ascii="仿宋_GB2312" w:hAnsi="仿宋" w:eastAsia="仿宋_GB2312" w:cs="Times New Roman"/>
                <w:color w:val="000000" w:themeColor="text1"/>
                <w:sz w:val="28"/>
                <w:szCs w:val="28"/>
                <w:highlight w:val="none"/>
                <w:lang w:val="en-US" w:eastAsia="zh-CN"/>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843" w:type="dxa"/>
            <w:vAlign w:val="center"/>
          </w:tcPr>
          <w:p>
            <w:pPr>
              <w:keepNext w:val="0"/>
              <w:keepLines w:val="0"/>
              <w:suppressLineNumbers w:val="0"/>
              <w:spacing w:before="0" w:beforeAutospacing="0" w:after="0" w:afterAutospacing="0"/>
              <w:ind w:left="0" w:right="0"/>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62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2235"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500"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383"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c>
          <w:tcPr>
            <w:tcW w:w="1959" w:type="dxa"/>
            <w:vAlign w:val="center"/>
          </w:tcPr>
          <w:p>
            <w:pPr>
              <w:keepNext w:val="0"/>
              <w:keepLines w:val="0"/>
              <w:suppressLineNumbers w:val="0"/>
              <w:spacing w:before="0" w:beforeAutospacing="0" w:after="0" w:afterAutospacing="0"/>
              <w:ind w:left="0" w:right="0"/>
              <w:jc w:val="center"/>
              <w:rPr>
                <w:rFonts w:hint="eastAsia" w:ascii="仿宋_GB2312" w:hAnsi="仿宋" w:eastAsia="仿宋_GB2312" w:cs="Times New Roman"/>
                <w:color w:val="000000" w:themeColor="text1"/>
                <w:sz w:val="30"/>
                <w:szCs w:val="30"/>
                <w:highlight w:val="none"/>
                <w14:textFill>
                  <w14:solidFill>
                    <w14:schemeClr w14:val="tx1"/>
                  </w14:solidFill>
                </w14:textFill>
              </w:rPr>
            </w:pPr>
          </w:p>
        </w:tc>
      </w:tr>
    </w:tbl>
    <w:p>
      <w:pPr>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备注：此表应认真填写，不得提供虚假业绩。</w:t>
      </w:r>
    </w:p>
    <w:p>
      <w:pPr>
        <w:pStyle w:val="6"/>
        <w:rPr>
          <w:rFonts w:hint="eastAsia"/>
          <w:color w:val="000000" w:themeColor="text1"/>
          <w:sz w:val="28"/>
          <w:szCs w:val="28"/>
          <w:highlight w:val="none"/>
          <w14:textFill>
            <w14:solidFill>
              <w14:schemeClr w14:val="tx1"/>
            </w14:solidFill>
          </w14:textFill>
        </w:rPr>
      </w:pPr>
    </w:p>
    <w:p>
      <w:pPr>
        <w:rPr>
          <w:rFonts w:hint="eastAsia" w:ascii="仿宋_GB2312" w:hAnsi="仿宋" w:eastAsia="仿宋_GB2312"/>
          <w:color w:val="000000" w:themeColor="text1"/>
          <w:sz w:val="28"/>
          <w:szCs w:val="28"/>
          <w:highlight w:val="none"/>
          <w14:textFill>
            <w14:solidFill>
              <w14:schemeClr w14:val="tx1"/>
            </w14:solidFill>
          </w14:textFill>
        </w:rPr>
      </w:pPr>
    </w:p>
    <w:p>
      <w:pPr>
        <w:pStyle w:val="15"/>
        <w:spacing w:line="460" w:lineRule="exact"/>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color w:val="000000" w:themeColor="text1"/>
          <w:highlight w:val="none"/>
          <w14:textFill>
            <w14:solidFill>
              <w14:schemeClr w14:val="tx1"/>
            </w14:solidFill>
          </w14:textFill>
        </w:rPr>
        <w:sectPr>
          <w:headerReference r:id="rId7" w:type="default"/>
          <w:footerReference r:id="rId8" w:type="default"/>
          <w:pgSz w:w="11906" w:h="16838"/>
          <w:pgMar w:top="1417" w:right="1417" w:bottom="1417" w:left="1559" w:header="851" w:footer="992" w:gutter="0"/>
          <w:pgNumType w:fmt="decimal"/>
          <w:cols w:space="720" w:num="1"/>
          <w:rtlGutter w:val="1"/>
          <w:docGrid w:type="lines" w:linePitch="520" w:charSpace="0"/>
        </w:sectPr>
      </w:pPr>
      <w:r>
        <w:rPr>
          <w:rFonts w:hint="eastAsia" w:ascii="仿宋_GB2312" w:hAnsi="仿宋" w:eastAsia="仿宋_GB2312"/>
          <w:color w:val="000000" w:themeColor="text1"/>
          <w:sz w:val="28"/>
          <w:szCs w:val="28"/>
          <w:highlight w:val="none"/>
          <w14:textFill>
            <w14:solidFill>
              <w14:schemeClr w14:val="tx1"/>
            </w14:solidFill>
          </w14:textFill>
        </w:rPr>
        <w:t>法定代表人（盖电子法人章）：</w:t>
      </w:r>
    </w:p>
    <w:p>
      <w:pPr>
        <w:keepNext w:val="0"/>
        <w:keepLines w:val="0"/>
        <w:pageBreakBefore w:val="0"/>
        <w:widowControl w:val="0"/>
        <w:tabs>
          <w:tab w:val="left" w:pos="540"/>
        </w:tabs>
        <w:kinsoku/>
        <w:wordWrap/>
        <w:overflowPunct/>
        <w:topLinePunct w:val="0"/>
        <w:autoSpaceDE/>
        <w:autoSpaceDN/>
        <w:bidi w:val="0"/>
        <w:adjustRightInd/>
        <w:snapToGrid/>
        <w:spacing w:after="0" w:line="420" w:lineRule="exact"/>
        <w:jc w:val="center"/>
        <w:textAlignment w:val="auto"/>
        <w:rPr>
          <w:rFonts w:hint="eastAsia" w:ascii="仿宋" w:hAnsi="仿宋" w:eastAsia="仿宋" w:cs="仿宋"/>
          <w:b/>
          <w:color w:val="000000" w:themeColor="text1"/>
          <w:kern w:val="2"/>
          <w:sz w:val="36"/>
          <w:szCs w:val="36"/>
          <w:highlight w:val="none"/>
          <w:lang w:val="en-US" w:eastAsia="zh-CN" w:bidi="ar-SA"/>
          <w14:textFill>
            <w14:solidFill>
              <w14:schemeClr w14:val="tx1"/>
            </w14:solidFill>
          </w14:textFill>
        </w:rPr>
      </w:pPr>
      <w:r>
        <w:rPr>
          <w:rFonts w:hint="eastAsia" w:ascii="仿宋" w:hAnsi="仿宋" w:eastAsia="仿宋" w:cs="仿宋"/>
          <w:b/>
          <w:color w:val="000000" w:themeColor="text1"/>
          <w:kern w:val="2"/>
          <w:sz w:val="36"/>
          <w:szCs w:val="36"/>
          <w:highlight w:val="none"/>
          <w:lang w:val="en-US" w:eastAsia="zh-CN" w:bidi="ar-SA"/>
          <w14:textFill>
            <w14:solidFill>
              <w14:schemeClr w14:val="tx1"/>
            </w14:solidFill>
          </w14:textFill>
        </w:rPr>
        <w:t>售后服务承诺</w:t>
      </w:r>
    </w:p>
    <w:p>
      <w:pPr>
        <w:pStyle w:val="15"/>
        <w:spacing w:line="540" w:lineRule="exact"/>
        <w:ind w:right="-23"/>
        <w:jc w:val="center"/>
        <w:rPr>
          <w:rFonts w:hint="eastAsia" w:ascii="仿宋_GB2312" w:hAnsi="仿宋" w:eastAsia="仿宋_GB2312"/>
          <w:b/>
          <w:color w:val="000000" w:themeColor="text1"/>
          <w:sz w:val="36"/>
          <w:highlight w:val="none"/>
          <w14:textFill>
            <w14:solidFill>
              <w14:schemeClr w14:val="tx1"/>
            </w14:solidFill>
          </w14:textFill>
        </w:rPr>
      </w:pPr>
    </w:p>
    <w:p>
      <w:pPr>
        <w:rPr>
          <w:rFonts w:hint="eastAsia" w:ascii="仿宋_GB2312" w:hAnsi="仿宋" w:eastAsia="仿宋_GB2312"/>
          <w:b/>
          <w:color w:val="000000" w:themeColor="text1"/>
          <w:sz w:val="36"/>
          <w:highlight w:val="none"/>
          <w14:textFill>
            <w14:solidFill>
              <w14:schemeClr w14:val="tx1"/>
            </w14:solidFill>
          </w14:textFill>
        </w:rPr>
      </w:pPr>
    </w:p>
    <w:p>
      <w:pPr>
        <w:pStyle w:val="6"/>
        <w:rPr>
          <w:rFonts w:hint="eastAsia" w:ascii="仿宋_GB2312" w:hAnsi="仿宋" w:eastAsia="仿宋_GB2312"/>
          <w:b/>
          <w:color w:val="000000" w:themeColor="text1"/>
          <w:sz w:val="36"/>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bCs/>
          <w:color w:val="000000" w:themeColor="text1"/>
          <w:sz w:val="30"/>
          <w:szCs w:val="30"/>
          <w:highlight w:val="none"/>
          <w14:textFill>
            <w14:solidFill>
              <w14:schemeClr w14:val="tx1"/>
            </w14:solidFill>
          </w14:textFill>
        </w:rPr>
      </w:pPr>
    </w:p>
    <w:p>
      <w:pPr>
        <w:pStyle w:val="15"/>
        <w:spacing w:line="460" w:lineRule="exact"/>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 xml:space="preserve">投标人（盖电子公章）： </w:t>
      </w:r>
    </w:p>
    <w:p>
      <w:pPr>
        <w:pStyle w:val="15"/>
        <w:spacing w:line="460" w:lineRule="exact"/>
        <w:rPr>
          <w:rFonts w:hint="eastAsia"/>
          <w:color w:val="000000" w:themeColor="text1"/>
          <w:highlight w:val="none"/>
          <w14:textFill>
            <w14:solidFill>
              <w14:schemeClr w14:val="tx1"/>
            </w14:solidFill>
          </w14:textFill>
        </w:rPr>
        <w:sectPr>
          <w:pgSz w:w="11906" w:h="16838"/>
          <w:pgMar w:top="1417" w:right="1417" w:bottom="1417" w:left="1559" w:header="851" w:footer="992" w:gutter="0"/>
          <w:pgNumType w:fmt="decimal"/>
          <w:cols w:space="720" w:num="1"/>
          <w:rtlGutter w:val="1"/>
          <w:docGrid w:type="lines" w:linePitch="520" w:charSpace="0"/>
        </w:sectPr>
      </w:pPr>
      <w:r>
        <w:rPr>
          <w:rFonts w:hint="eastAsia" w:ascii="仿宋_GB2312" w:hAnsi="仿宋" w:eastAsia="仿宋_GB2312"/>
          <w:color w:val="000000" w:themeColor="text1"/>
          <w:sz w:val="28"/>
          <w:szCs w:val="28"/>
          <w:highlight w:val="none"/>
          <w14:textFill>
            <w14:solidFill>
              <w14:schemeClr w14:val="tx1"/>
            </w14:solidFill>
          </w14:textFill>
        </w:rPr>
        <w:t>法定代表人（盖电子法人章）：</w:t>
      </w: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_GB2312" w:hAnsi="仿宋" w:eastAsia="仿宋_GB2312"/>
          <w:b/>
          <w:color w:val="000000" w:themeColor="text1"/>
          <w:sz w:val="36"/>
          <w:highlight w:val="none"/>
          <w14:textFill>
            <w14:solidFill>
              <w14:schemeClr w14:val="tx1"/>
            </w14:solidFill>
          </w14:textFill>
        </w:rPr>
      </w:pPr>
      <w:r>
        <w:rPr>
          <w:rFonts w:hint="eastAsia" w:ascii="仿宋_GB2312" w:hAnsi="仿宋" w:eastAsia="仿宋_GB2312"/>
          <w:b/>
          <w:color w:val="000000" w:themeColor="text1"/>
          <w:sz w:val="36"/>
          <w:highlight w:val="none"/>
          <w14:textFill>
            <w14:solidFill>
              <w14:schemeClr w14:val="tx1"/>
            </w14:solidFill>
          </w14:textFill>
        </w:rPr>
        <w:t>投 标 偏 离 表</w:t>
      </w:r>
    </w:p>
    <w:p>
      <w:pPr>
        <w:spacing w:line="300" w:lineRule="exact"/>
        <w:jc w:val="center"/>
        <w:rPr>
          <w:rFonts w:hint="eastAsia" w:ascii="仿宋_GB2312" w:hAnsi="仿宋" w:eastAsia="仿宋_GB2312"/>
          <w:b/>
          <w:bCs/>
          <w:color w:val="000000" w:themeColor="text1"/>
          <w:sz w:val="36"/>
          <w:szCs w:val="36"/>
          <w:highlight w:val="none"/>
          <w14:textFill>
            <w14:solidFill>
              <w14:schemeClr w14:val="tx1"/>
            </w14:solidFill>
          </w14:textFill>
        </w:rPr>
      </w:pPr>
    </w:p>
    <w:p>
      <w:pPr>
        <w:spacing w:line="360" w:lineRule="exact"/>
        <w:jc w:val="center"/>
        <w:rPr>
          <w:rFonts w:hint="eastAsia" w:ascii="仿宋_GB2312" w:hAnsi="仿宋" w:eastAsia="仿宋_GB2312"/>
          <w:b/>
          <w:bCs/>
          <w:color w:val="000000" w:themeColor="text1"/>
          <w:sz w:val="30"/>
          <w:szCs w:val="30"/>
          <w:highlight w:val="none"/>
          <w14:textFill>
            <w14:solidFill>
              <w14:schemeClr w14:val="tx1"/>
            </w14:solidFill>
          </w14:textFill>
        </w:rPr>
      </w:pPr>
      <w:r>
        <w:rPr>
          <w:rFonts w:hint="eastAsia" w:ascii="仿宋_GB2312" w:hAnsi="仿宋" w:eastAsia="仿宋_GB2312"/>
          <w:b/>
          <w:bCs/>
          <w:color w:val="000000" w:themeColor="text1"/>
          <w:sz w:val="30"/>
          <w:szCs w:val="30"/>
          <w:highlight w:val="none"/>
          <w14:textFill>
            <w14:solidFill>
              <w14:schemeClr w14:val="tx1"/>
            </w14:solidFill>
          </w14:textFill>
        </w:rPr>
        <w:t>（包括技术规格、参数和商务条款偏离）</w:t>
      </w:r>
    </w:p>
    <w:tbl>
      <w:tblPr>
        <w:tblStyle w:val="32"/>
        <w:tblW w:w="993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71"/>
        <w:gridCol w:w="2857"/>
        <w:gridCol w:w="1323"/>
        <w:gridCol w:w="263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0" w:hRule="atLeast"/>
          <w:jc w:val="center"/>
        </w:trPr>
        <w:tc>
          <w:tcPr>
            <w:tcW w:w="900" w:type="dxa"/>
            <w:vMerge w:val="restart"/>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序号</w:t>
            </w:r>
          </w:p>
        </w:tc>
        <w:tc>
          <w:tcPr>
            <w:tcW w:w="4228" w:type="dxa"/>
            <w:gridSpan w:val="2"/>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招标文件条款</w:t>
            </w:r>
          </w:p>
        </w:tc>
        <w:tc>
          <w:tcPr>
            <w:tcW w:w="3959" w:type="dxa"/>
            <w:gridSpan w:val="2"/>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投标文件条款</w:t>
            </w:r>
          </w:p>
        </w:tc>
        <w:tc>
          <w:tcPr>
            <w:tcW w:w="850" w:type="dxa"/>
            <w:vMerge w:val="restart"/>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偏离</w:t>
            </w:r>
          </w:p>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83" w:hRule="atLeast"/>
          <w:jc w:val="center"/>
        </w:trPr>
        <w:tc>
          <w:tcPr>
            <w:tcW w:w="900" w:type="dxa"/>
            <w:vMerge w:val="continue"/>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1371"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条款号</w:t>
            </w:r>
          </w:p>
        </w:tc>
        <w:tc>
          <w:tcPr>
            <w:tcW w:w="2857"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招标文件的内容</w:t>
            </w:r>
          </w:p>
        </w:tc>
        <w:tc>
          <w:tcPr>
            <w:tcW w:w="1323"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条款号</w:t>
            </w:r>
          </w:p>
        </w:tc>
        <w:tc>
          <w:tcPr>
            <w:tcW w:w="2636"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r>
              <w:rPr>
                <w:rFonts w:hint="eastAsia" w:ascii="仿宋_GB2312" w:hAnsi="仿宋" w:eastAsia="仿宋_GB2312" w:cs="Times New Roman"/>
                <w:color w:val="000000" w:themeColor="text1"/>
                <w:sz w:val="28"/>
                <w:szCs w:val="28"/>
                <w:highlight w:val="none"/>
                <w14:textFill>
                  <w14:solidFill>
                    <w14:schemeClr w14:val="tx1"/>
                  </w14:solidFill>
                </w14:textFill>
              </w:rPr>
              <w:t>投标文件偏离内容</w:t>
            </w:r>
          </w:p>
        </w:tc>
        <w:tc>
          <w:tcPr>
            <w:tcW w:w="850" w:type="dxa"/>
            <w:vMerge w:val="continue"/>
            <w:vAlign w:val="top"/>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900"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1371"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857"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1323"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2636" w:type="dxa"/>
            <w:vAlign w:val="center"/>
          </w:tcPr>
          <w:p>
            <w:pPr>
              <w:pStyle w:val="15"/>
              <w:keepNext w:val="0"/>
              <w:keepLines w:val="0"/>
              <w:suppressLineNumbers w:val="0"/>
              <w:spacing w:before="0" w:beforeAutospacing="0" w:after="0" w:afterAutospacing="0" w:line="400" w:lineRule="exact"/>
              <w:ind w:left="0" w:right="0"/>
              <w:jc w:val="center"/>
              <w:rPr>
                <w:rFonts w:hint="eastAsia" w:ascii="仿宋_GB2312" w:hAnsi="仿宋" w:eastAsia="仿宋_GB2312" w:cs="Times New Roman"/>
                <w:color w:val="000000" w:themeColor="text1"/>
                <w:sz w:val="28"/>
                <w:szCs w:val="28"/>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8"/>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2"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5"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4"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3"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6" w:hRule="atLeast"/>
          <w:jc w:val="center"/>
        </w:trPr>
        <w:tc>
          <w:tcPr>
            <w:tcW w:w="90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71"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857"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1323"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2636"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c>
          <w:tcPr>
            <w:tcW w:w="850" w:type="dxa"/>
            <w:vAlign w:val="top"/>
          </w:tcPr>
          <w:p>
            <w:pPr>
              <w:pStyle w:val="15"/>
              <w:keepNext w:val="0"/>
              <w:keepLines w:val="0"/>
              <w:suppressLineNumbers w:val="0"/>
              <w:spacing w:before="0" w:beforeAutospacing="0" w:after="0" w:afterAutospacing="0" w:line="400" w:lineRule="exact"/>
              <w:ind w:left="0" w:right="0"/>
              <w:rPr>
                <w:rFonts w:hint="eastAsia" w:ascii="仿宋_GB2312" w:hAnsi="仿宋" w:eastAsia="仿宋_GB2312" w:cs="Times New Roman"/>
                <w:color w:val="000000" w:themeColor="text1"/>
                <w:sz w:val="28"/>
                <w:szCs w:val="24"/>
                <w:highlight w:val="none"/>
                <w14:textFill>
                  <w14:solidFill>
                    <w14:schemeClr w14:val="tx1"/>
                  </w14:solidFill>
                </w14:textFill>
              </w:rPr>
            </w:pPr>
          </w:p>
        </w:tc>
      </w:tr>
    </w:tbl>
    <w:p>
      <w:pPr>
        <w:pStyle w:val="15"/>
        <w:spacing w:line="400" w:lineRule="exact"/>
        <w:rPr>
          <w:rFonts w:hint="eastAsia" w:ascii="仿宋_GB2312" w:hAnsi="仿宋" w:eastAsia="仿宋_GB2312"/>
          <w:color w:val="000000" w:themeColor="text1"/>
          <w:sz w:val="28"/>
          <w:szCs w:val="28"/>
          <w:highlight w:val="none"/>
          <w14:textFill>
            <w14:solidFill>
              <w14:schemeClr w14:val="tx1"/>
            </w14:solidFill>
          </w14:textFill>
        </w:rPr>
      </w:pPr>
      <w:r>
        <w:rPr>
          <w:rFonts w:hint="eastAsia" w:ascii="仿宋_GB2312" w:hAnsi="仿宋" w:eastAsia="仿宋_GB2312"/>
          <w:color w:val="000000" w:themeColor="text1"/>
          <w:sz w:val="28"/>
          <w:szCs w:val="28"/>
          <w:highlight w:val="none"/>
          <w14:textFill>
            <w14:solidFill>
              <w14:schemeClr w14:val="tx1"/>
            </w14:solidFill>
          </w14:textFill>
        </w:rPr>
        <w:t>注：无偏离可填写“无”字，有偏离必须在本表列明，实际存在负偏离而在本表内没有列明的，视为虚假投标。</w:t>
      </w:r>
    </w:p>
    <w:p>
      <w:pPr>
        <w:spacing w:line="360" w:lineRule="exact"/>
        <w:ind w:firstLine="4900" w:firstLineChars="1750"/>
        <w:rPr>
          <w:rFonts w:hint="eastAsia" w:ascii="仿宋_GB2312" w:hAnsi="仿宋" w:eastAsia="仿宋_GB2312"/>
          <w:color w:val="000000" w:themeColor="text1"/>
          <w:sz w:val="28"/>
          <w:szCs w:val="28"/>
          <w:highlight w:val="none"/>
          <w14:textFill>
            <w14:solidFill>
              <w14:schemeClr w14:val="tx1"/>
            </w14:solidFill>
          </w14:textFill>
        </w:rPr>
      </w:pPr>
    </w:p>
    <w:p>
      <w:pPr>
        <w:pStyle w:val="10"/>
        <w:rPr>
          <w:rFonts w:hint="eastAsia"/>
          <w:color w:val="000000" w:themeColor="text1"/>
          <w:sz w:val="28"/>
          <w:szCs w:val="28"/>
          <w:highlight w:val="none"/>
          <w14:textFill>
            <w14:solidFill>
              <w14:schemeClr w14:val="tx1"/>
            </w14:solidFill>
          </w14:textFill>
        </w:rPr>
      </w:pPr>
    </w:p>
    <w:p>
      <w:pPr>
        <w:pStyle w:val="15"/>
        <w:spacing w:line="460" w:lineRule="exact"/>
        <w:rPr>
          <w:rFonts w:hint="eastAsia" w:ascii="仿宋_GB2312" w:hAnsi="仿宋" w:eastAsia="仿宋_GB2312"/>
          <w:color w:val="000000" w:themeColor="text1"/>
          <w:sz w:val="30"/>
          <w:szCs w:val="30"/>
          <w:highlight w:val="none"/>
          <w14:textFill>
            <w14:solidFill>
              <w14:schemeClr w14:val="tx1"/>
            </w14:solidFill>
          </w14:textFill>
        </w:rPr>
      </w:pPr>
      <w:r>
        <w:rPr>
          <w:rFonts w:hint="eastAsia" w:ascii="仿宋_GB2312" w:hAnsi="仿宋" w:eastAsia="仿宋_GB2312"/>
          <w:color w:val="000000" w:themeColor="text1"/>
          <w:sz w:val="30"/>
          <w:szCs w:val="30"/>
          <w:highlight w:val="none"/>
          <w14:textFill>
            <w14:solidFill>
              <w14:schemeClr w14:val="tx1"/>
            </w14:solidFill>
          </w14:textFill>
        </w:rPr>
        <w:t xml:space="preserve">投标人（盖电子公章）： </w:t>
      </w:r>
    </w:p>
    <w:p>
      <w:pPr>
        <w:pStyle w:val="15"/>
        <w:spacing w:line="460" w:lineRule="exact"/>
        <w:rPr>
          <w:rFonts w:hint="eastAsia" w:ascii="仿宋_GB2312" w:hAnsi="仿宋" w:eastAsia="仿宋_GB2312"/>
          <w:color w:val="000000" w:themeColor="text1"/>
          <w:sz w:val="28"/>
          <w:szCs w:val="28"/>
          <w:highlight w:val="none"/>
          <w:u w:val="single"/>
          <w14:textFill>
            <w14:solidFill>
              <w14:schemeClr w14:val="tx1"/>
            </w14:solidFill>
          </w14:textFill>
        </w:rPr>
        <w:sectPr>
          <w:pgSz w:w="11906" w:h="16838"/>
          <w:pgMar w:top="1417" w:right="1417" w:bottom="1417" w:left="1559" w:header="851" w:footer="992" w:gutter="0"/>
          <w:pgNumType w:fmt="decimal"/>
          <w:cols w:space="720" w:num="1"/>
          <w:rtlGutter w:val="1"/>
          <w:docGrid w:type="lines" w:linePitch="520" w:charSpace="0"/>
        </w:sectPr>
      </w:pPr>
      <w:r>
        <w:rPr>
          <w:rFonts w:hint="eastAsia" w:ascii="仿宋_GB2312" w:hAnsi="仿宋" w:eastAsia="仿宋_GB2312"/>
          <w:color w:val="000000" w:themeColor="text1"/>
          <w:sz w:val="30"/>
          <w:szCs w:val="30"/>
          <w:highlight w:val="none"/>
          <w14:textFill>
            <w14:solidFill>
              <w14:schemeClr w14:val="tx1"/>
            </w14:solidFill>
          </w14:textFill>
        </w:rPr>
        <w:t>法定代表人（盖电子法人章）：</w:t>
      </w:r>
    </w:p>
    <w:p>
      <w:pPr>
        <w:pStyle w:val="15"/>
        <w:keepNext w:val="0"/>
        <w:keepLines w:val="0"/>
        <w:pageBreakBefore/>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color w:val="000000" w:themeColor="text1"/>
          <w:sz w:val="36"/>
          <w:highlight w:val="none"/>
          <w14:textFill>
            <w14:solidFill>
              <w14:schemeClr w14:val="tx1"/>
            </w14:solidFill>
          </w14:textFill>
        </w:rPr>
      </w:pPr>
      <w:r>
        <w:rPr>
          <w:rFonts w:hint="eastAsia" w:ascii="仿宋" w:hAnsi="仿宋" w:eastAsia="仿宋" w:cs="仿宋"/>
          <w:b/>
          <w:color w:val="000000" w:themeColor="text1"/>
          <w:sz w:val="36"/>
          <w:highlight w:val="none"/>
          <w14:textFill>
            <w14:solidFill>
              <w14:schemeClr w14:val="tx1"/>
            </w14:solidFill>
          </w14:textFill>
        </w:rPr>
        <w:t>其他资料</w:t>
      </w:r>
    </w:p>
    <w:p>
      <w:pPr>
        <w:rPr>
          <w:rFonts w:hint="eastAsia" w:ascii="仿宋" w:hAnsi="仿宋" w:eastAsia="仿宋" w:cs="仿宋"/>
          <w:b/>
          <w:color w:val="000000" w:themeColor="text1"/>
          <w:sz w:val="36"/>
          <w:highlight w:val="none"/>
          <w14:textFill>
            <w14:solidFill>
              <w14:schemeClr w14:val="tx1"/>
            </w14:solidFill>
          </w14:textFill>
        </w:rPr>
      </w:pPr>
    </w:p>
    <w:p>
      <w:pPr>
        <w:pStyle w:val="6"/>
        <w:rPr>
          <w:rFonts w:hint="eastAsia" w:ascii="仿宋" w:hAnsi="仿宋" w:eastAsia="仿宋" w:cs="仿宋"/>
          <w:b/>
          <w:color w:val="000000" w:themeColor="text1"/>
          <w:sz w:val="36"/>
          <w:highlight w:val="none"/>
          <w14:textFill>
            <w14:solidFill>
              <w14:schemeClr w14:val="tx1"/>
            </w14:solidFill>
          </w14:textFill>
        </w:rPr>
      </w:pPr>
    </w:p>
    <w:p>
      <w:pPr>
        <w:pStyle w:val="5"/>
        <w:outlineLvl w:val="9"/>
        <w:rPr>
          <w:rFonts w:hint="eastAsia" w:ascii="仿宋" w:hAnsi="仿宋" w:eastAsia="仿宋" w:cs="仿宋"/>
          <w:color w:val="000000" w:themeColor="text1"/>
          <w:sz w:val="36"/>
          <w:highlight w:val="none"/>
          <w14:textFill>
            <w14:solidFill>
              <w14:schemeClr w14:val="tx1"/>
            </w14:solidFill>
          </w14:textFill>
        </w:rPr>
      </w:pPr>
    </w:p>
    <w:p>
      <w:pPr>
        <w:rPr>
          <w:rFonts w:hint="eastAsia" w:ascii="仿宋" w:hAnsi="仿宋" w:eastAsia="仿宋" w:cs="仿宋"/>
          <w:b/>
          <w:color w:val="000000" w:themeColor="text1"/>
          <w:sz w:val="36"/>
          <w:highlight w:val="none"/>
          <w14:textFill>
            <w14:solidFill>
              <w14:schemeClr w14:val="tx1"/>
            </w14:solidFill>
          </w14:textFill>
        </w:rPr>
      </w:pPr>
    </w:p>
    <w:p>
      <w:pPr>
        <w:pStyle w:val="6"/>
        <w:rPr>
          <w:rFonts w:hint="eastAsia" w:ascii="仿宋" w:hAnsi="仿宋" w:eastAsia="仿宋" w:cs="仿宋"/>
          <w:b/>
          <w:color w:val="000000" w:themeColor="text1"/>
          <w:sz w:val="36"/>
          <w:highlight w:val="none"/>
          <w14:textFill>
            <w14:solidFill>
              <w14:schemeClr w14:val="tx1"/>
            </w14:solidFill>
          </w14:textFill>
        </w:rPr>
      </w:pPr>
    </w:p>
    <w:p>
      <w:pPr>
        <w:pStyle w:val="5"/>
        <w:outlineLvl w:val="9"/>
        <w:rPr>
          <w:rFonts w:hint="eastAsia" w:ascii="仿宋" w:hAnsi="仿宋" w:eastAsia="仿宋" w:cs="仿宋"/>
          <w:color w:val="000000" w:themeColor="text1"/>
          <w:sz w:val="36"/>
          <w:highlight w:val="none"/>
          <w14:textFill>
            <w14:solidFill>
              <w14:schemeClr w14:val="tx1"/>
            </w14:solidFill>
          </w14:textFill>
        </w:rPr>
      </w:pPr>
    </w:p>
    <w:p>
      <w:pPr>
        <w:rPr>
          <w:rFonts w:hint="eastAsia" w:ascii="仿宋" w:hAnsi="仿宋" w:eastAsia="仿宋" w:cs="仿宋"/>
          <w:b/>
          <w:color w:val="000000" w:themeColor="text1"/>
          <w:sz w:val="36"/>
          <w:highlight w:val="none"/>
          <w14:textFill>
            <w14:solidFill>
              <w14:schemeClr w14:val="tx1"/>
            </w14:solidFill>
          </w14:textFill>
        </w:rPr>
      </w:pPr>
    </w:p>
    <w:p>
      <w:pPr>
        <w:pStyle w:val="6"/>
        <w:rPr>
          <w:rFonts w:hint="eastAsia" w:ascii="仿宋" w:hAnsi="仿宋" w:eastAsia="仿宋" w:cs="仿宋"/>
          <w:b/>
          <w:color w:val="000000" w:themeColor="text1"/>
          <w:sz w:val="36"/>
          <w:highlight w:val="none"/>
          <w14:textFill>
            <w14:solidFill>
              <w14:schemeClr w14:val="tx1"/>
            </w14:solidFill>
          </w14:textFill>
        </w:rPr>
      </w:pPr>
    </w:p>
    <w:p>
      <w:pPr>
        <w:pStyle w:val="5"/>
        <w:outlineLvl w:val="9"/>
        <w:rPr>
          <w:rFonts w:hint="eastAsia" w:ascii="仿宋" w:hAnsi="仿宋" w:eastAsia="仿宋" w:cs="仿宋"/>
          <w:color w:val="000000" w:themeColor="text1"/>
          <w:sz w:val="36"/>
          <w:highlight w:val="none"/>
          <w14:textFill>
            <w14:solidFill>
              <w14:schemeClr w14:val="tx1"/>
            </w14:solidFill>
          </w14:textFill>
        </w:rPr>
      </w:pPr>
    </w:p>
    <w:p>
      <w:pPr>
        <w:rPr>
          <w:rFonts w:hint="eastAsia" w:ascii="仿宋" w:hAnsi="仿宋" w:eastAsia="仿宋" w:cs="仿宋"/>
          <w:b/>
          <w:color w:val="000000" w:themeColor="text1"/>
          <w:sz w:val="36"/>
          <w:highlight w:val="none"/>
          <w14:textFill>
            <w14:solidFill>
              <w14:schemeClr w14:val="tx1"/>
            </w14:solidFill>
          </w14:textFill>
        </w:rPr>
      </w:pPr>
    </w:p>
    <w:p>
      <w:pPr>
        <w:pStyle w:val="6"/>
        <w:rPr>
          <w:rFonts w:hint="eastAsia" w:ascii="仿宋" w:hAnsi="仿宋" w:eastAsia="仿宋" w:cs="仿宋"/>
          <w:b/>
          <w:color w:val="000000" w:themeColor="text1"/>
          <w:sz w:val="36"/>
          <w:highlight w:val="none"/>
          <w14:textFill>
            <w14:solidFill>
              <w14:schemeClr w14:val="tx1"/>
            </w14:solidFill>
          </w14:textFill>
        </w:rPr>
      </w:pPr>
    </w:p>
    <w:p>
      <w:pPr>
        <w:pStyle w:val="15"/>
        <w:spacing w:line="460" w:lineRule="exact"/>
        <w:jc w:val="center"/>
        <w:rPr>
          <w:rFonts w:hint="eastAsia" w:ascii="仿宋" w:hAnsi="仿宋" w:eastAsia="仿宋" w:cs="仿宋"/>
          <w:color w:val="000000" w:themeColor="text1"/>
          <w:sz w:val="28"/>
          <w:szCs w:val="28"/>
          <w:highlight w:val="none"/>
          <w14:textFill>
            <w14:solidFill>
              <w14:schemeClr w14:val="tx1"/>
            </w14:solidFill>
          </w14:textFill>
        </w:rPr>
        <w:sectPr>
          <w:headerReference r:id="rId9" w:type="default"/>
          <w:footerReference r:id="rId10" w:type="default"/>
          <w:pgSz w:w="11906" w:h="16838"/>
          <w:pgMar w:top="1417" w:right="1417" w:bottom="1417" w:left="1559" w:header="851" w:footer="992" w:gutter="0"/>
          <w:pgNumType w:fmt="decimal"/>
          <w:cols w:space="720" w:num="1"/>
          <w:rtlGutter w:val="1"/>
          <w:docGrid w:type="lines" w:linePitch="520" w:charSpace="0"/>
        </w:sectPr>
      </w:pPr>
      <w:r>
        <w:rPr>
          <w:rFonts w:hint="eastAsia" w:ascii="仿宋" w:hAnsi="仿宋" w:eastAsia="仿宋" w:cs="仿宋"/>
          <w:color w:val="000000" w:themeColor="text1"/>
          <w:sz w:val="28"/>
          <w:szCs w:val="28"/>
          <w:highlight w:val="none"/>
          <w14:textFill>
            <w14:solidFill>
              <w14:schemeClr w14:val="tx1"/>
            </w14:solidFill>
          </w14:textFill>
        </w:rPr>
        <w:t>投标人（盖电子公章）：</w:t>
      </w:r>
    </w:p>
    <w:p>
      <w:pPr>
        <w:jc w:val="center"/>
        <w:outlineLvl w:val="0"/>
        <w:rPr>
          <w:rFonts w:hint="eastAsia" w:ascii="仿宋" w:hAnsi="仿宋" w:eastAsia="仿宋" w:cs="仿宋"/>
          <w:color w:val="000000" w:themeColor="text1"/>
          <w:sz w:val="44"/>
          <w:szCs w:val="44"/>
          <w:highlight w:val="none"/>
          <w14:textFill>
            <w14:solidFill>
              <w14:schemeClr w14:val="tx1"/>
            </w14:solidFill>
          </w14:textFill>
        </w:rPr>
      </w:pPr>
      <w:bookmarkStart w:id="65" w:name="_Toc32756"/>
      <w:r>
        <w:rPr>
          <w:rFonts w:hint="eastAsia" w:ascii="仿宋" w:hAnsi="仿宋" w:eastAsia="仿宋" w:cs="仿宋"/>
          <w:b/>
          <w:bCs/>
          <w:color w:val="000000" w:themeColor="text1"/>
          <w:sz w:val="44"/>
          <w:szCs w:val="44"/>
          <w:highlight w:val="none"/>
          <w14:textFill>
            <w14:solidFill>
              <w14:schemeClr w14:val="tx1"/>
            </w14:solidFill>
          </w14:textFill>
        </w:rPr>
        <w:t>第六部分  合 同 书 （范本）</w:t>
      </w:r>
      <w:bookmarkEnd w:id="65"/>
    </w:p>
    <w:p>
      <w:pPr>
        <w:keepNext w:val="0"/>
        <w:keepLines w:val="0"/>
        <w:widowControl/>
        <w:suppressLineNumbers w:val="0"/>
        <w:jc w:val="righ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w:t>
      </w:r>
    </w:p>
    <w:p>
      <w:pPr>
        <w:jc w:val="center"/>
        <w:rPr>
          <w:rFonts w:hint="eastAsia" w:ascii="仿宋" w:hAnsi="仿宋" w:eastAsia="仿宋" w:cs="仿宋"/>
          <w:color w:val="auto"/>
          <w:sz w:val="44"/>
          <w:szCs w:val="44"/>
          <w:highlight w:val="none"/>
        </w:rPr>
      </w:pPr>
      <w:r>
        <w:rPr>
          <w:rFonts w:hint="eastAsia" w:ascii="仿宋" w:hAnsi="仿宋" w:eastAsia="仿宋" w:cs="仿宋"/>
          <w:color w:val="auto"/>
          <w:sz w:val="36"/>
          <w:szCs w:val="36"/>
          <w:lang w:val="en-US" w:eastAsia="zh-CN"/>
        </w:rPr>
        <w:t>博通公司</w:t>
      </w:r>
      <w:r>
        <w:rPr>
          <w:rFonts w:hint="eastAsia" w:ascii="仿宋" w:hAnsi="仿宋" w:eastAsia="仿宋" w:cs="仿宋"/>
          <w:i w:val="0"/>
          <w:iCs w:val="0"/>
          <w:caps w:val="0"/>
          <w:color w:val="444444"/>
          <w:spacing w:val="0"/>
          <w:sz w:val="36"/>
          <w:szCs w:val="36"/>
          <w:shd w:val="clear" w:color="auto" w:fill="FFFFFF"/>
        </w:rPr>
        <w:t>#6炉引风机、一、二次风机变频器改造</w:t>
      </w:r>
      <w:r>
        <w:rPr>
          <w:rFonts w:hint="eastAsia" w:ascii="仿宋" w:hAnsi="仿宋" w:eastAsia="仿宋" w:cs="仿宋"/>
          <w:color w:val="auto"/>
          <w:sz w:val="36"/>
          <w:szCs w:val="36"/>
          <w:lang w:val="en-US" w:eastAsia="zh-CN"/>
        </w:rPr>
        <w:t>买</w:t>
      </w:r>
      <w:r>
        <w:rPr>
          <w:rFonts w:hint="eastAsia" w:ascii="仿宋" w:hAnsi="仿宋" w:eastAsia="仿宋" w:cs="仿宋"/>
          <w:color w:val="auto"/>
          <w:sz w:val="36"/>
          <w:szCs w:val="36"/>
        </w:rPr>
        <w:t>卖合同</w:t>
      </w:r>
    </w:p>
    <w:p>
      <w:pPr>
        <w:jc w:val="both"/>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合同编号：</w:t>
      </w:r>
    </w:p>
    <w:p>
      <w:pPr>
        <w:adjustRightInd w:val="0"/>
        <w:snapToGrid w:val="0"/>
        <w:spacing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 xml:space="preserve">                                         </w:t>
      </w:r>
    </w:p>
    <w:p>
      <w:pPr>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一、供货范围、价格、</w:t>
      </w:r>
      <w:r>
        <w:rPr>
          <w:rFonts w:hint="eastAsia" w:ascii="仿宋" w:hAnsi="仿宋" w:eastAsia="仿宋" w:cs="仿宋"/>
          <w:sz w:val="24"/>
          <w:szCs w:val="24"/>
          <w:lang w:val="en-US" w:eastAsia="zh-CN"/>
        </w:rPr>
        <w:t>计划名称、交货期</w:t>
      </w:r>
    </w:p>
    <w:tbl>
      <w:tblPr>
        <w:tblStyle w:val="32"/>
        <w:tblW w:w="99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2290"/>
        <w:gridCol w:w="705"/>
        <w:gridCol w:w="885"/>
        <w:gridCol w:w="1185"/>
        <w:gridCol w:w="1335"/>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6" w:hRule="atLeast"/>
          <w:jc w:val="center"/>
        </w:trPr>
        <w:tc>
          <w:tcPr>
            <w:tcW w:w="1902"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名称</w:t>
            </w:r>
          </w:p>
        </w:tc>
        <w:tc>
          <w:tcPr>
            <w:tcW w:w="2290"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规格</w:t>
            </w:r>
          </w:p>
        </w:tc>
        <w:tc>
          <w:tcPr>
            <w:tcW w:w="70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w:t>
            </w:r>
          </w:p>
        </w:tc>
        <w:tc>
          <w:tcPr>
            <w:tcW w:w="88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数量</w:t>
            </w:r>
          </w:p>
        </w:tc>
        <w:tc>
          <w:tcPr>
            <w:tcW w:w="118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含税</w:t>
            </w:r>
          </w:p>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单价</w:t>
            </w:r>
          </w:p>
        </w:tc>
        <w:tc>
          <w:tcPr>
            <w:tcW w:w="133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总金额</w:t>
            </w:r>
          </w:p>
        </w:tc>
        <w:tc>
          <w:tcPr>
            <w:tcW w:w="1611"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备注</w:t>
            </w:r>
          </w:p>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品牌</w:t>
            </w:r>
            <w:r>
              <w:rPr>
                <w:rFonts w:hint="eastAsia" w:ascii="仿宋" w:hAnsi="仿宋" w:eastAsia="仿宋" w:cs="仿宋"/>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jc w:val="center"/>
        </w:trPr>
        <w:tc>
          <w:tcPr>
            <w:tcW w:w="1902"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sz w:val="24"/>
                <w:szCs w:val="24"/>
                <w:shd w:val="clear" w:color="auto" w:fill="FFFFFF"/>
              </w:rPr>
              <w:t>#6炉引风机、一、二次风机变频器改造</w:t>
            </w:r>
          </w:p>
        </w:tc>
        <w:tc>
          <w:tcPr>
            <w:tcW w:w="2290"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sz w:val="24"/>
                <w:szCs w:val="24"/>
                <w:shd w:val="clear" w:color="auto" w:fill="FFFFFF"/>
              </w:rPr>
              <w:t>详见技术要求</w:t>
            </w:r>
          </w:p>
        </w:tc>
        <w:tc>
          <w:tcPr>
            <w:tcW w:w="705"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kern w:val="0"/>
                <w:sz w:val="24"/>
                <w:szCs w:val="24"/>
                <w:lang w:val="en-US" w:eastAsia="zh-CN" w:bidi="ar"/>
              </w:rPr>
              <w:t>台</w:t>
            </w:r>
          </w:p>
        </w:tc>
        <w:tc>
          <w:tcPr>
            <w:tcW w:w="885"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c>
          <w:tcPr>
            <w:tcW w:w="1185"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c>
          <w:tcPr>
            <w:tcW w:w="1335"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c>
          <w:tcPr>
            <w:tcW w:w="1611"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8" w:hRule="atLeast"/>
          <w:jc w:val="center"/>
        </w:trPr>
        <w:tc>
          <w:tcPr>
            <w:tcW w:w="9913" w:type="dxa"/>
            <w:gridSpan w:val="7"/>
            <w:noWrap w:val="0"/>
            <w:vAlign w:val="center"/>
          </w:tcPr>
          <w:p>
            <w:pPr>
              <w:keepNext w:val="0"/>
              <w:keepLines w:val="0"/>
              <w:suppressLineNumbers w:val="0"/>
              <w:bidi w:val="0"/>
              <w:spacing w:before="0" w:beforeAutospacing="0" w:after="0" w:afterAutospacing="0"/>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合计人民币金额（大写）：</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jc w:val="center"/>
        </w:trPr>
        <w:tc>
          <w:tcPr>
            <w:tcW w:w="9913" w:type="dxa"/>
            <w:gridSpan w:val="7"/>
            <w:noWrap w:val="0"/>
            <w:vAlign w:val="center"/>
          </w:tcPr>
          <w:p>
            <w:pPr>
              <w:keepNext w:val="0"/>
              <w:keepLines w:val="0"/>
              <w:suppressLineNumbers w:val="0"/>
              <w:adjustRightInd w:val="0"/>
              <w:snapToGrid w:val="0"/>
              <w:spacing w:before="0" w:beforeAutospacing="0" w:after="0" w:afterAutospacing="0" w:line="360" w:lineRule="auto"/>
              <w:ind w:left="0" w:right="0"/>
              <w:jc w:val="left"/>
              <w:rPr>
                <w:rFonts w:hint="default"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交货期</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合同签订后</w:t>
            </w:r>
            <w:r>
              <w:rPr>
                <w:rFonts w:hint="eastAsia" w:ascii="仿宋" w:hAnsi="仿宋" w:eastAsia="仿宋" w:cs="仿宋"/>
                <w:sz w:val="24"/>
                <w:szCs w:val="24"/>
                <w:highlight w:val="none"/>
                <w:lang w:val="en-US" w:eastAsia="zh-CN"/>
              </w:rPr>
              <w:t>30天内到货，项目安装应根据甲方实际生产情况决定，自具备施工条件之日起，全部工作须在30日内完成。</w:t>
            </w:r>
          </w:p>
        </w:tc>
      </w:tr>
    </w:tbl>
    <w:p>
      <w:pPr>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二、</w:t>
      </w:r>
      <w:r>
        <w:rPr>
          <w:rFonts w:hint="eastAsia" w:ascii="仿宋" w:hAnsi="仿宋" w:eastAsia="仿宋" w:cs="仿宋"/>
          <w:strike w:val="0"/>
          <w:color w:val="auto"/>
          <w:sz w:val="24"/>
          <w:szCs w:val="24"/>
          <w:highlight w:val="none"/>
          <w:lang w:val="en-US" w:eastAsia="zh-CN"/>
        </w:rPr>
        <w:t>产品（设备）的质量与技术标准应同时符合以下要求，并以其中更严格者为准：（1）中华人民共和国国家、行业及地方的强制性标准；（2）本合同附件一《技术规范书》中载明的标准及甲方书面提出的其他技术要求”</w:t>
      </w:r>
    </w:p>
    <w:p>
      <w:pPr>
        <w:adjustRightInd w:val="0"/>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三、交货地点及联系人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w:t>
      </w:r>
      <w:r>
        <w:rPr>
          <w:rFonts w:hint="eastAsia" w:ascii="仿宋" w:hAnsi="仿宋" w:eastAsia="仿宋" w:cs="仿宋"/>
          <w:color w:val="auto"/>
          <w:sz w:val="24"/>
          <w:szCs w:val="24"/>
          <w:highlight w:val="none"/>
          <w:lang w:val="en-US" w:eastAsia="zh-CN"/>
        </w:rPr>
        <w:t>应甲方要求</w:t>
      </w:r>
      <w:r>
        <w:rPr>
          <w:rFonts w:hint="eastAsia" w:ascii="仿宋" w:hAnsi="仿宋" w:eastAsia="仿宋" w:cs="仿宋"/>
          <w:sz w:val="24"/>
          <w:szCs w:val="24"/>
          <w:highlight w:val="none"/>
        </w:rPr>
        <w:t>，联系人：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电话：</w:t>
      </w:r>
      <w:r>
        <w:rPr>
          <w:rFonts w:hint="eastAsia" w:ascii="仿宋" w:hAnsi="仿宋" w:eastAsia="仿宋" w:cs="仿宋"/>
          <w:sz w:val="24"/>
          <w:szCs w:val="24"/>
          <w:highlight w:val="none"/>
          <w:lang w:val="en-US" w:eastAsia="zh-CN"/>
        </w:rPr>
        <w:t xml:space="preserve"> </w:t>
      </w:r>
    </w:p>
    <w:p>
      <w:pPr>
        <w:adjustRightInd w:val="0"/>
        <w:snapToGrid w:val="0"/>
        <w:spacing w:line="360" w:lineRule="auto"/>
        <w:ind w:firstLine="480" w:firstLineChars="200"/>
        <w:rPr>
          <w:rFonts w:hint="eastAsia" w:ascii="仿宋" w:hAnsi="仿宋" w:eastAsia="仿宋" w:cs="仿宋"/>
          <w:b w:val="0"/>
          <w:bCs/>
          <w:color w:val="auto"/>
          <w:sz w:val="24"/>
          <w:szCs w:val="24"/>
          <w:highlight w:val="none"/>
          <w:u w:val="none"/>
          <w:lang w:val="en-US" w:eastAsia="zh-CN"/>
        </w:rPr>
      </w:pPr>
      <w:r>
        <w:rPr>
          <w:rFonts w:hint="eastAsia" w:ascii="仿宋" w:hAnsi="仿宋" w:eastAsia="仿宋" w:cs="仿宋"/>
          <w:color w:val="auto"/>
          <w:sz w:val="24"/>
          <w:szCs w:val="24"/>
          <w:highlight w:val="none"/>
        </w:rPr>
        <w:t>四、运输方式及费用负担：乙方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按照安全合理的运输方式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包装标准</w:t>
      </w:r>
      <w:r>
        <w:rPr>
          <w:rFonts w:hint="eastAsia" w:ascii="仿宋" w:hAnsi="仿宋" w:eastAsia="仿宋" w:cs="仿宋"/>
          <w:color w:val="auto"/>
          <w:sz w:val="24"/>
          <w:szCs w:val="24"/>
          <w:highlight w:val="none"/>
          <w:lang w:val="en-US" w:eastAsia="zh-CN"/>
        </w:rPr>
        <w:t>以及</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相关要求</w:t>
      </w:r>
      <w:r>
        <w:rPr>
          <w:rFonts w:hint="eastAsia" w:ascii="仿宋" w:hAnsi="仿宋" w:eastAsia="仿宋" w:cs="仿宋"/>
          <w:color w:val="auto"/>
          <w:sz w:val="24"/>
          <w:szCs w:val="24"/>
          <w:highlight w:val="none"/>
        </w:rPr>
        <w:t>提供货物运输服务，并要安全、及时、将货物运至甲方指定的目的地，</w:t>
      </w:r>
      <w:r>
        <w:rPr>
          <w:rFonts w:hint="eastAsia" w:ascii="仿宋" w:hAnsi="仿宋" w:eastAsia="仿宋" w:cs="仿宋"/>
          <w:color w:val="auto"/>
          <w:sz w:val="24"/>
          <w:szCs w:val="24"/>
          <w:highlight w:val="none"/>
          <w:lang w:val="en-US" w:eastAsia="zh-CN"/>
        </w:rPr>
        <w:t>全部货物</w:t>
      </w:r>
      <w:r>
        <w:rPr>
          <w:rFonts w:hint="eastAsia" w:ascii="仿宋" w:hAnsi="仿宋" w:eastAsia="仿宋" w:cs="仿宋"/>
          <w:color w:val="auto"/>
          <w:sz w:val="24"/>
          <w:szCs w:val="24"/>
          <w:highlight w:val="none"/>
        </w:rPr>
        <w:t>验收合格、双方签字确认</w:t>
      </w:r>
      <w:r>
        <w:rPr>
          <w:rFonts w:hint="eastAsia" w:ascii="仿宋" w:hAnsi="仿宋" w:eastAsia="仿宋" w:cs="仿宋"/>
          <w:color w:val="auto"/>
          <w:sz w:val="24"/>
          <w:szCs w:val="24"/>
          <w:highlight w:val="none"/>
          <w:lang w:val="en-US" w:eastAsia="zh-CN"/>
        </w:rPr>
        <w:t>即为乙方完成交付。交付前全部</w:t>
      </w:r>
      <w:r>
        <w:rPr>
          <w:rFonts w:hint="eastAsia" w:ascii="仿宋" w:hAnsi="仿宋" w:eastAsia="仿宋" w:cs="仿宋"/>
          <w:color w:val="auto"/>
          <w:sz w:val="24"/>
          <w:szCs w:val="24"/>
          <w:highlight w:val="none"/>
        </w:rPr>
        <w:t>费用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风险</w:t>
      </w:r>
      <w:r>
        <w:rPr>
          <w:rFonts w:hint="eastAsia" w:ascii="仿宋" w:hAnsi="仿宋" w:eastAsia="仿宋" w:cs="仿宋"/>
          <w:color w:val="auto"/>
          <w:sz w:val="24"/>
          <w:szCs w:val="24"/>
          <w:highlight w:val="none"/>
        </w:rPr>
        <w:t>（包含卸车费）</w:t>
      </w:r>
      <w:r>
        <w:rPr>
          <w:rFonts w:hint="eastAsia" w:ascii="仿宋" w:hAnsi="仿宋" w:eastAsia="仿宋" w:cs="仿宋"/>
          <w:color w:val="auto"/>
          <w:sz w:val="24"/>
          <w:szCs w:val="24"/>
          <w:highlight w:val="none"/>
          <w:lang w:val="en-US" w:eastAsia="zh-CN"/>
        </w:rPr>
        <w:t>均</w:t>
      </w:r>
      <w:r>
        <w:rPr>
          <w:rFonts w:hint="eastAsia" w:ascii="仿宋" w:hAnsi="仿宋" w:eastAsia="仿宋" w:cs="仿宋"/>
          <w:color w:val="auto"/>
          <w:sz w:val="24"/>
          <w:szCs w:val="24"/>
          <w:highlight w:val="none"/>
        </w:rPr>
        <w:t>由乙方承担，运输和卸车安全由乙方负责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甲方不承担任何责任，在运输过程中发生的货物盗窃、丢失、泄漏、受潮过水、变质失效、损坏、交货不清、人员伤亡、车辆损坏、交通事故、环境污染等，乙方承担全部责任及损失。</w:t>
      </w:r>
    </w:p>
    <w:p>
      <w:pPr>
        <w:adjustRightInd w:val="0"/>
        <w:snapToGrid w:val="0"/>
        <w:spacing w:line="360" w:lineRule="auto"/>
        <w:ind w:firstLine="480" w:firstLineChars="200"/>
        <w:rPr>
          <w:rFonts w:hint="eastAsia" w:ascii="仿宋" w:hAnsi="仿宋" w:eastAsia="仿宋" w:cs="仿宋"/>
          <w:color w:val="0000FF"/>
          <w:sz w:val="24"/>
          <w:szCs w:val="24"/>
          <w:highlight w:val="none"/>
        </w:rPr>
      </w:pPr>
      <w:r>
        <w:rPr>
          <w:rFonts w:hint="eastAsia" w:ascii="仿宋" w:hAnsi="仿宋" w:eastAsia="仿宋" w:cs="仿宋"/>
          <w:color w:val="auto"/>
          <w:sz w:val="24"/>
          <w:szCs w:val="24"/>
          <w:highlight w:val="none"/>
        </w:rPr>
        <w:t>五、质保期：货物（设备）质保期从验收合格、双方签字确认后</w:t>
      </w:r>
      <w:r>
        <w:rPr>
          <w:rFonts w:hint="eastAsia" w:ascii="仿宋" w:hAnsi="仿宋" w:eastAsia="仿宋" w:cs="仿宋"/>
          <w:color w:val="auto"/>
          <w:sz w:val="24"/>
          <w:szCs w:val="24"/>
          <w:highlight w:val="none"/>
          <w:lang w:val="en-US" w:eastAsia="zh-CN"/>
        </w:rPr>
        <w:t>次日</w:t>
      </w:r>
      <w:r>
        <w:rPr>
          <w:rFonts w:hint="eastAsia" w:ascii="仿宋" w:hAnsi="仿宋" w:eastAsia="仿宋" w:cs="仿宋"/>
          <w:color w:val="auto"/>
          <w:sz w:val="24"/>
          <w:szCs w:val="24"/>
          <w:highlight w:val="none"/>
        </w:rPr>
        <w:t>开始计算，质保期</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年，期间发生问题由乙方负责免费处理，质保期重新自</w:t>
      </w:r>
      <w:r>
        <w:rPr>
          <w:rFonts w:hint="eastAsia" w:ascii="仿宋" w:hAnsi="仿宋" w:eastAsia="仿宋" w:cs="仿宋"/>
          <w:color w:val="auto"/>
          <w:sz w:val="24"/>
          <w:szCs w:val="24"/>
          <w:highlight w:val="none"/>
          <w:lang w:val="en-US" w:eastAsia="zh-CN"/>
        </w:rPr>
        <w:t>问题处理完毕、</w:t>
      </w:r>
      <w:r>
        <w:rPr>
          <w:rFonts w:hint="eastAsia" w:ascii="仿宋" w:hAnsi="仿宋" w:eastAsia="仿宋" w:cs="仿宋"/>
          <w:color w:val="auto"/>
          <w:sz w:val="24"/>
          <w:szCs w:val="24"/>
          <w:highlight w:val="none"/>
        </w:rPr>
        <w:t>验收合格</w:t>
      </w:r>
      <w:r>
        <w:rPr>
          <w:rFonts w:hint="eastAsia" w:ascii="仿宋" w:hAnsi="仿宋" w:eastAsia="仿宋" w:cs="仿宋"/>
          <w:color w:val="auto"/>
          <w:sz w:val="24"/>
          <w:szCs w:val="24"/>
          <w:highlight w:val="none"/>
          <w:lang w:val="en-US" w:eastAsia="zh-CN"/>
        </w:rPr>
        <w:t>起</w:t>
      </w:r>
      <w:r>
        <w:rPr>
          <w:rFonts w:hint="eastAsia" w:ascii="仿宋" w:hAnsi="仿宋" w:eastAsia="仿宋" w:cs="仿宋"/>
          <w:color w:val="auto"/>
          <w:sz w:val="24"/>
          <w:szCs w:val="24"/>
          <w:highlight w:val="none"/>
        </w:rPr>
        <w:t>开始计算。乙方应在接到甲方关于维保需求的通知后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小时内响应，并在</w:t>
      </w:r>
      <w:r>
        <w:rPr>
          <w:rFonts w:hint="eastAsia" w:ascii="仿宋" w:hAnsi="仿宋" w:eastAsia="仿宋" w:cs="仿宋"/>
          <w:color w:val="auto"/>
          <w:sz w:val="24"/>
          <w:szCs w:val="24"/>
          <w:highlight w:val="none"/>
          <w:lang w:val="en-US" w:eastAsia="zh-CN"/>
        </w:rPr>
        <w:t>24</w:t>
      </w:r>
      <w:r>
        <w:rPr>
          <w:rFonts w:hint="eastAsia" w:ascii="仿宋" w:hAnsi="仿宋" w:eastAsia="仿宋" w:cs="仿宋"/>
          <w:color w:val="auto"/>
          <w:sz w:val="24"/>
          <w:szCs w:val="24"/>
          <w:highlight w:val="none"/>
        </w:rPr>
        <w:t>小时内到达现场进行维保工作。维保完成后，乙方应向甲方提交维保报告，经甲方确认后作为维保义务履行的依据。质保期内，乙方怠于履行维保义务</w:t>
      </w:r>
      <w:r>
        <w:rPr>
          <w:rFonts w:hint="eastAsia" w:ascii="仿宋" w:hAnsi="仿宋" w:eastAsia="仿宋" w:cs="仿宋"/>
          <w:color w:val="auto"/>
          <w:sz w:val="24"/>
          <w:szCs w:val="24"/>
          <w:highlight w:val="none"/>
          <w:lang w:val="en-US" w:eastAsia="zh-CN"/>
        </w:rPr>
        <w:t>或同一问题经两次维修仍未解决</w:t>
      </w:r>
      <w:r>
        <w:rPr>
          <w:rFonts w:hint="eastAsia" w:ascii="仿宋" w:hAnsi="仿宋" w:eastAsia="仿宋" w:cs="仿宋"/>
          <w:color w:val="auto"/>
          <w:sz w:val="24"/>
          <w:szCs w:val="24"/>
          <w:highlight w:val="none"/>
        </w:rPr>
        <w:t>的，甲方有权自行聘请第三方进行维修养护，由此给甲方造成的额外费用，由乙方</w:t>
      </w:r>
      <w:r>
        <w:rPr>
          <w:rFonts w:hint="eastAsia" w:ascii="仿宋" w:hAnsi="仿宋" w:eastAsia="仿宋" w:cs="仿宋"/>
          <w:color w:val="auto"/>
          <w:sz w:val="24"/>
          <w:szCs w:val="24"/>
          <w:highlight w:val="none"/>
          <w:lang w:val="en-US" w:eastAsia="zh-CN"/>
        </w:rPr>
        <w:t>无条件</w:t>
      </w:r>
      <w:r>
        <w:rPr>
          <w:rFonts w:hint="eastAsia" w:ascii="仿宋" w:hAnsi="仿宋" w:eastAsia="仿宋" w:cs="仿宋"/>
          <w:color w:val="auto"/>
          <w:sz w:val="24"/>
          <w:szCs w:val="24"/>
          <w:highlight w:val="none"/>
        </w:rPr>
        <w:t>承担</w:t>
      </w:r>
      <w:r>
        <w:rPr>
          <w:rFonts w:hint="eastAsia" w:ascii="仿宋" w:hAnsi="仿宋" w:eastAsia="仿宋" w:cs="仿宋"/>
          <w:color w:val="0000FF"/>
          <w:sz w:val="24"/>
          <w:szCs w:val="24"/>
          <w:highlight w:val="none"/>
        </w:rPr>
        <w:t>。</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质量与检验</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供方应保证设备所采用的工艺系统的主要材料及部件等，是技术先进并经过实践证明是成熟可靠的。</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供方应严格按照图纸、技术要求和有关标准制作和检验。</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设备制造过程中需方可随时到现场进行监督制造，供方应予以配合。</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设备验收包括：数量、外观质量、随机备品备件、装箱单、随机资料（质量检验合格证、竣工图纸）及包装完整无破损。</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每台设备上均应订有铭牌（内容包括：制造单位、设备名称、型号规格、出厂日期等）。</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质量异议期为自设备安装调试完毕投运之日起三个月。</w:t>
      </w:r>
    </w:p>
    <w:p>
      <w:pPr>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、结算方式：</w:t>
      </w:r>
    </w:p>
    <w:p>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1、货物经甲方验收合格后，甲方付给乙方40%货款，安装调试一个月后无质量问题</w:t>
      </w:r>
      <w:r>
        <w:rPr>
          <w:rFonts w:hint="eastAsia" w:ascii="仿宋" w:hAnsi="仿宋" w:eastAsia="仿宋" w:cs="仿宋"/>
          <w:color w:val="auto"/>
          <w:sz w:val="24"/>
          <w:szCs w:val="24"/>
          <w:highlight w:val="none"/>
        </w:rPr>
        <w:t>乙方开具税率为</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%的全额增值税专用发票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甲方付给乙方50%货款，剩余合同总价的10%作为质保金，</w:t>
      </w:r>
      <w:r>
        <w:rPr>
          <w:rFonts w:hint="eastAsia" w:ascii="仿宋" w:hAnsi="仿宋" w:eastAsia="仿宋" w:cs="仿宋"/>
          <w:strike w:val="0"/>
          <w:color w:val="auto"/>
          <w:sz w:val="24"/>
          <w:szCs w:val="24"/>
          <w:highlight w:val="none"/>
          <w:lang w:val="en-US" w:eastAsia="zh-CN"/>
        </w:rPr>
        <w:t>在质保期届满，甲方应组织相关人员对乙方在质保期内的维保工作进行评估，若确认乙方已完全履行维保义务，甲方应将余款付清，</w:t>
      </w:r>
      <w:r>
        <w:rPr>
          <w:rFonts w:hint="eastAsia" w:ascii="仿宋" w:hAnsi="仿宋" w:eastAsia="仿宋" w:cs="仿宋"/>
          <w:color w:val="auto"/>
          <w:sz w:val="24"/>
          <w:szCs w:val="24"/>
          <w:highlight w:val="none"/>
        </w:rPr>
        <w:t>因乙方发票提供不及时造成的付款延迟等一切损失由乙方自行承担</w:t>
      </w:r>
      <w:r>
        <w:rPr>
          <w:rFonts w:hint="eastAsia" w:ascii="仿宋" w:hAnsi="仿宋" w:eastAsia="仿宋" w:cs="仿宋"/>
          <w:color w:val="auto"/>
          <w:sz w:val="24"/>
          <w:szCs w:val="24"/>
          <w:highlight w:val="none"/>
          <w:lang w:eastAsia="zh-CN"/>
        </w:rPr>
        <w:t>。</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b w:val="0"/>
          <w:color w:val="auto"/>
          <w:sz w:val="24"/>
          <w:szCs w:val="24"/>
          <w:lang w:eastAsia="zh-CN"/>
        </w:rPr>
        <w:t>付款方式</w:t>
      </w:r>
      <w:r>
        <w:rPr>
          <w:rFonts w:hint="eastAsia" w:ascii="仿宋" w:hAnsi="仿宋" w:eastAsia="仿宋" w:cs="仿宋"/>
          <w:b w:val="0"/>
          <w:color w:val="auto"/>
          <w:sz w:val="24"/>
          <w:szCs w:val="24"/>
        </w:rPr>
        <w:t>：银行电汇或承兑汇票。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、违约责任：</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1、因货物（设备）引起的一切纠纷由乙方负责解决，并赔偿由此给甲方造成的所有损失，包括但不限于直接经济损失、预期可得利益、维权所需的诉讼费、保全费、</w:t>
      </w:r>
      <w:r>
        <w:rPr>
          <w:rFonts w:hint="eastAsia" w:ascii="仿宋" w:hAnsi="仿宋" w:eastAsia="仿宋" w:cs="仿宋"/>
          <w:color w:val="auto"/>
          <w:sz w:val="24"/>
          <w:szCs w:val="24"/>
          <w:lang w:val="en-US" w:eastAsia="zh-CN"/>
        </w:rPr>
        <w:t>保险费、公证费、</w:t>
      </w:r>
      <w:r>
        <w:rPr>
          <w:rFonts w:hint="eastAsia" w:ascii="仿宋" w:hAnsi="仿宋" w:eastAsia="仿宋" w:cs="仿宋"/>
          <w:color w:val="auto"/>
          <w:sz w:val="24"/>
          <w:szCs w:val="24"/>
        </w:rPr>
        <w:t>担保费、律师费、差旅费等所有费用；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逾期交付货物（设备）、交付货物（设备）质量或数量不符合约定、或未按约定履行质保义务的，应赔偿由此给甲方造成的所有损失，包括但不限于直接经济损失、预期可得利益、维权所需的诉讼费、保全费、担保费、律师费、</w:t>
      </w:r>
      <w:r>
        <w:rPr>
          <w:rFonts w:hint="eastAsia" w:ascii="仿宋" w:hAnsi="仿宋" w:eastAsia="仿宋" w:cs="仿宋"/>
          <w:color w:val="auto"/>
          <w:sz w:val="24"/>
          <w:szCs w:val="24"/>
          <w:lang w:val="en-US" w:eastAsia="zh-CN"/>
        </w:rPr>
        <w:t>保险费、公证费、</w:t>
      </w:r>
      <w:r>
        <w:rPr>
          <w:rFonts w:hint="eastAsia" w:ascii="仿宋" w:hAnsi="仿宋" w:eastAsia="仿宋" w:cs="仿宋"/>
          <w:color w:val="auto"/>
          <w:sz w:val="24"/>
          <w:szCs w:val="24"/>
        </w:rPr>
        <w:t>差旅费等所有费用；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3、乙方违反合同约定，还应按合同总金额的10%向甲方支付违约金。未尽之处，依据《中华人民共和国民法典》执行。</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、解决合同纠纷办法：双方协商解决，协商不成依法向甲方所在地人民法院起诉。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十</w:t>
      </w:r>
      <w:r>
        <w:rPr>
          <w:rFonts w:hint="eastAsia" w:ascii="仿宋" w:hAnsi="仿宋" w:eastAsia="仿宋" w:cs="仿宋"/>
          <w:color w:val="auto"/>
          <w:sz w:val="24"/>
          <w:szCs w:val="24"/>
        </w:rPr>
        <w:t>、反商业贿赂协议：</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1、本协议所指商业贿赂是指乙方为获取与甲方人的合作的利益，乙方或其他单位工作人员给予甲方员工的一切精神及物质上之间或间接的馈赠，如回扣、娱乐、旅游等。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2、甲方任何员工、部门不得以甲方或非甲方名义向乙方索取或收受金钱、物质及任何形式的馈赠。</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或乙方工作人员不得以乙方或个人名义向甲方任何员工私下直接或间接赠送礼金、物品、有价证券或采取其他变相手段提供不正当利益。否则均视为侵害甲方利益的行为，礼金包括但不限于现金、支票、信用卡等；物品及馈赠品包括但不限于礼品、样品或其他商品，娱乐票券、会员卡等，货币或货物形式的回扣，乙方付款的旅游、宴请及个人服务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若甲方员工要求乙方给予其他形式的不正当利益，乙方必须及时投诉、并提供相关证据给甲方，经甲方查实后作出处理，并为乙方保密，对于乙方的协助，甲方将给予乙方相应的奖励并将根据情况给予乙方更多的商业机会。</w:t>
      </w:r>
    </w:p>
    <w:p>
      <w:pPr>
        <w:adjustRightInd w:val="0"/>
        <w:snapToGrid w:val="0"/>
        <w:spacing w:line="360" w:lineRule="auto"/>
        <w:ind w:firstLine="480" w:firstLineChars="200"/>
        <w:rPr>
          <w:rFonts w:hint="eastAsia" w:ascii="仿宋" w:hAnsi="仿宋" w:eastAsia="仿宋" w:cs="仿宋"/>
          <w:strike w:val="0"/>
          <w:sz w:val="24"/>
          <w:szCs w:val="24"/>
          <w:highlight w:val="none"/>
          <w:lang w:eastAsia="zh-CN"/>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rPr>
        <w:t>：其</w:t>
      </w:r>
      <w:r>
        <w:rPr>
          <w:rFonts w:hint="eastAsia" w:ascii="仿宋" w:hAnsi="仿宋" w:eastAsia="仿宋" w:cs="仿宋"/>
          <w:sz w:val="24"/>
          <w:szCs w:val="24"/>
          <w:highlight w:val="none"/>
        </w:rPr>
        <w:t>它约定</w:t>
      </w:r>
      <w:r>
        <w:rPr>
          <w:rFonts w:hint="eastAsia" w:ascii="仿宋" w:hAnsi="仿宋" w:eastAsia="仿宋" w:cs="仿宋"/>
          <w:strike w:val="0"/>
          <w:sz w:val="24"/>
          <w:szCs w:val="24"/>
          <w:highlight w:val="none"/>
          <w:lang w:eastAsia="zh-CN"/>
        </w:rPr>
        <w:t>：</w:t>
      </w:r>
    </w:p>
    <w:p>
      <w:pPr>
        <w:adjustRightInd w:val="0"/>
        <w:snapToGrid w:val="0"/>
        <w:spacing w:line="360" w:lineRule="auto"/>
        <w:ind w:firstLine="480" w:firstLineChars="200"/>
        <w:rPr>
          <w:rFonts w:hint="eastAsia" w:ascii="仿宋" w:hAnsi="仿宋" w:eastAsia="仿宋" w:cs="仿宋"/>
          <w:b w:val="0"/>
          <w:sz w:val="24"/>
          <w:szCs w:val="24"/>
          <w:highlight w:val="none"/>
          <w:lang w:val="en-US" w:eastAsia="zh-CN"/>
        </w:rPr>
      </w:pPr>
      <w:r>
        <w:rPr>
          <w:rFonts w:hint="eastAsia" w:ascii="仿宋" w:hAnsi="仿宋" w:eastAsia="仿宋" w:cs="仿宋"/>
          <w:strike w:val="0"/>
          <w:sz w:val="24"/>
          <w:szCs w:val="24"/>
          <w:highlight w:val="none"/>
          <w:lang w:val="en-US" w:eastAsia="zh-CN"/>
        </w:rPr>
        <w:t>1、</w:t>
      </w:r>
      <w:r>
        <w:rPr>
          <w:rFonts w:hint="eastAsia" w:ascii="仿宋" w:hAnsi="仿宋" w:eastAsia="仿宋" w:cs="仿宋"/>
          <w:b w:val="0"/>
          <w:sz w:val="24"/>
          <w:szCs w:val="24"/>
          <w:highlight w:val="none"/>
        </w:rPr>
        <w:t>产品到货</w:t>
      </w:r>
      <w:r>
        <w:rPr>
          <w:rFonts w:hint="eastAsia" w:ascii="仿宋" w:hAnsi="仿宋" w:eastAsia="仿宋" w:cs="仿宋"/>
          <w:b w:val="0"/>
          <w:sz w:val="24"/>
          <w:szCs w:val="24"/>
          <w:highlight w:val="none"/>
          <w:lang w:eastAsia="zh-CN"/>
        </w:rPr>
        <w:t>按甲方要求</w:t>
      </w:r>
      <w:r>
        <w:rPr>
          <w:rFonts w:hint="eastAsia" w:ascii="仿宋" w:hAnsi="仿宋" w:eastAsia="仿宋" w:cs="仿宋"/>
          <w:b w:val="0"/>
          <w:sz w:val="24"/>
          <w:szCs w:val="24"/>
          <w:highlight w:val="none"/>
        </w:rPr>
        <w:t>附带</w:t>
      </w:r>
      <w:r>
        <w:rPr>
          <w:rFonts w:hint="eastAsia" w:ascii="仿宋" w:hAnsi="仿宋" w:eastAsia="仿宋" w:cs="仿宋"/>
          <w:b w:val="0"/>
          <w:sz w:val="24"/>
          <w:szCs w:val="24"/>
          <w:highlight w:val="none"/>
          <w:lang w:eastAsia="zh-CN"/>
        </w:rPr>
        <w:t>相关</w:t>
      </w:r>
      <w:r>
        <w:rPr>
          <w:rFonts w:hint="eastAsia" w:ascii="仿宋" w:hAnsi="仿宋" w:eastAsia="仿宋" w:cs="仿宋"/>
          <w:b w:val="0"/>
          <w:sz w:val="24"/>
          <w:szCs w:val="24"/>
          <w:highlight w:val="none"/>
        </w:rPr>
        <w:t>产品合格证</w:t>
      </w:r>
      <w:r>
        <w:rPr>
          <w:rFonts w:hint="eastAsia" w:ascii="仿宋" w:hAnsi="仿宋" w:eastAsia="仿宋" w:cs="仿宋"/>
          <w:b w:val="0"/>
          <w:sz w:val="24"/>
          <w:szCs w:val="24"/>
          <w:highlight w:val="none"/>
          <w:lang w:eastAsia="zh-CN"/>
        </w:rPr>
        <w:t>、材</w:t>
      </w:r>
      <w:r>
        <w:rPr>
          <w:rFonts w:hint="eastAsia" w:ascii="仿宋" w:hAnsi="仿宋" w:eastAsia="仿宋" w:cs="仿宋"/>
          <w:b w:val="0"/>
          <w:sz w:val="24"/>
          <w:szCs w:val="24"/>
          <w:highlight w:val="none"/>
        </w:rPr>
        <w:t>质单、出厂检验报告等证件。</w:t>
      </w:r>
    </w:p>
    <w:p>
      <w:pPr>
        <w:adjustRightInd w:val="0"/>
        <w:snapToGrid w:val="0"/>
        <w:spacing w:line="360" w:lineRule="auto"/>
        <w:ind w:firstLine="480" w:firstLineChars="200"/>
        <w:rPr>
          <w:rFonts w:hint="eastAsia" w:ascii="仿宋" w:hAnsi="仿宋" w:eastAsia="仿宋" w:cs="仿宋"/>
          <w:b w:val="0"/>
          <w:color w:val="auto"/>
          <w:sz w:val="24"/>
          <w:szCs w:val="24"/>
          <w:lang w:val="en-US" w:eastAsia="zh-CN"/>
        </w:rPr>
      </w:pPr>
      <w:r>
        <w:rPr>
          <w:rFonts w:hint="eastAsia" w:ascii="仿宋" w:hAnsi="仿宋" w:eastAsia="仿宋" w:cs="仿宋"/>
          <w:b w:val="0"/>
          <w:sz w:val="24"/>
          <w:szCs w:val="24"/>
          <w:lang w:val="en-US" w:eastAsia="zh-CN"/>
        </w:rPr>
        <w:t>2、甲方有权根据乙方的履行情</w:t>
      </w:r>
      <w:r>
        <w:rPr>
          <w:rFonts w:hint="eastAsia" w:ascii="仿宋" w:hAnsi="仿宋" w:eastAsia="仿宋" w:cs="仿宋"/>
          <w:strike w:val="0"/>
          <w:color w:val="auto"/>
          <w:sz w:val="24"/>
          <w:szCs w:val="24"/>
          <w:highlight w:val="none"/>
          <w:lang w:val="en-US" w:eastAsia="zh-CN"/>
        </w:rPr>
        <w:t>况，</w:t>
      </w:r>
      <w:r>
        <w:rPr>
          <w:rFonts w:hint="eastAsia" w:ascii="仿宋" w:hAnsi="仿宋" w:eastAsia="仿宋" w:cs="仿宋"/>
          <w:color w:val="auto"/>
          <w:sz w:val="24"/>
          <w:szCs w:val="24"/>
          <w:highlight w:val="none"/>
          <w:lang w:val="en-US" w:eastAsia="zh-CN"/>
        </w:rPr>
        <w:t>当乙方出现本合同第八条约定的违约情形，或法律法规规定的其他根本违约行为时，甲方有权单方书面通知乙方解除本合同。</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 w:val="0"/>
          <w:sz w:val="24"/>
          <w:szCs w:val="24"/>
          <w:lang w:val="en-US" w:eastAsia="zh-CN"/>
        </w:rPr>
        <w:t>3、</w:t>
      </w:r>
      <w:r>
        <w:rPr>
          <w:rFonts w:hint="eastAsia" w:ascii="仿宋" w:hAnsi="仿宋" w:eastAsia="仿宋" w:cs="仿宋"/>
          <w:sz w:val="24"/>
          <w:szCs w:val="24"/>
        </w:rPr>
        <w:t>合同中记载的双方各自联系方式为双方约定的联系方式，双方来往函件均发往该联系方式，并适用于本合同下的相关诉讼、仲裁及行政处理文件和材料的送达。</w:t>
      </w:r>
    </w:p>
    <w:p>
      <w:pPr>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color w:val="auto"/>
          <w:sz w:val="24"/>
          <w:szCs w:val="24"/>
        </w:rPr>
        <w:t>设备在安装、调试过程中，根据需方需要，供方应派工程技术人员现场服务，处理现场出现的技术问题，协助需方控制安装质量。</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十</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：本合同自签</w:t>
      </w:r>
      <w:r>
        <w:rPr>
          <w:rFonts w:hint="eastAsia" w:ascii="仿宋" w:hAnsi="仿宋" w:eastAsia="仿宋" w:cs="仿宋"/>
          <w:color w:val="auto"/>
          <w:sz w:val="24"/>
          <w:szCs w:val="24"/>
          <w:lang w:val="en-US" w:eastAsia="zh-CN"/>
        </w:rPr>
        <w:t>签章之日</w:t>
      </w:r>
      <w:r>
        <w:rPr>
          <w:rFonts w:hint="eastAsia" w:ascii="仿宋" w:hAnsi="仿宋" w:eastAsia="仿宋" w:cs="仿宋"/>
          <w:color w:val="auto"/>
          <w:sz w:val="24"/>
          <w:szCs w:val="24"/>
        </w:rPr>
        <w:t>起生效，本合同一式五份，乙方一份，甲方四份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招标书、</w:t>
      </w:r>
      <w:r>
        <w:rPr>
          <w:rFonts w:hint="eastAsia" w:ascii="仿宋" w:hAnsi="仿宋" w:eastAsia="仿宋" w:cs="仿宋"/>
          <w:color w:val="auto"/>
          <w:sz w:val="24"/>
          <w:szCs w:val="24"/>
        </w:rPr>
        <w:t>技术协议及附表</w:t>
      </w:r>
      <w:r>
        <w:rPr>
          <w:rFonts w:hint="eastAsia" w:ascii="仿宋" w:hAnsi="仿宋" w:eastAsia="仿宋" w:cs="仿宋"/>
          <w:color w:val="auto"/>
          <w:sz w:val="24"/>
          <w:szCs w:val="24"/>
          <w:lang w:val="en-US" w:eastAsia="zh-CN"/>
        </w:rPr>
        <w:t>作为合同附件具有同等法律效力（技术协议需签章）</w:t>
      </w:r>
      <w:r>
        <w:rPr>
          <w:rFonts w:hint="eastAsia" w:ascii="仿宋" w:hAnsi="仿宋" w:eastAsia="仿宋" w:cs="仿宋"/>
          <w:color w:val="auto"/>
          <w:sz w:val="24"/>
          <w:szCs w:val="24"/>
        </w:rPr>
        <w:t>。</w:t>
      </w:r>
    </w:p>
    <w:tbl>
      <w:tblPr>
        <w:tblStyle w:val="32"/>
        <w:tblW w:w="9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6" w:hRule="atLeast"/>
          <w:jc w:val="center"/>
        </w:trPr>
        <w:tc>
          <w:tcPr>
            <w:tcW w:w="5156" w:type="dxa"/>
            <w:tcBorders>
              <w:top w:val="single" w:color="auto" w:sz="4" w:space="0"/>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章）：</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开户行：</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帐号：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纳税人识别号：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地址：</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电话：</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lang w:val="en-US" w:eastAsia="zh-CN"/>
              </w:rPr>
            </w:pPr>
          </w:p>
        </w:tc>
        <w:tc>
          <w:tcPr>
            <w:tcW w:w="4817" w:type="dxa"/>
            <w:tcBorders>
              <w:top w:val="single" w:color="auto" w:sz="4" w:space="0"/>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章）：</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帐号：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纳税人识别号：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地址：</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电话：</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签订时间：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tc>
      </w:tr>
    </w:tbl>
    <w:p>
      <w:pPr>
        <w:rPr>
          <w:rFonts w:hint="eastAsia" w:ascii="宋体" w:hAnsi="宋体"/>
          <w:sz w:val="28"/>
          <w:szCs w:val="28"/>
        </w:rPr>
      </w:pPr>
      <w:r>
        <w:rPr>
          <w:rFonts w:hint="eastAsia"/>
          <w:b/>
          <w:sz w:val="28"/>
          <w:szCs w:val="28"/>
        </w:rPr>
        <w:t xml:space="preserve"> </w:t>
      </w:r>
    </w:p>
    <w:p>
      <w:pPr>
        <w:snapToGrid w:val="0"/>
        <w:spacing w:line="240" w:lineRule="atLeast"/>
        <w:rPr>
          <w:rFonts w:hint="eastAsia"/>
          <w:sz w:val="28"/>
          <w:szCs w:val="28"/>
        </w:rPr>
      </w:pPr>
      <w:r>
        <w:rPr>
          <w:rFonts w:hint="eastAsia" w:ascii="宋体" w:hAnsi="宋体" w:cs="宋体"/>
          <w:sz w:val="28"/>
          <w:szCs w:val="28"/>
        </w:rPr>
        <w:t xml:space="preserve"> </w:t>
      </w:r>
    </w:p>
    <w:p>
      <w:pPr>
        <w:rPr>
          <w:rFonts w:hint="eastAsia"/>
        </w:rPr>
      </w:pPr>
    </w:p>
    <w:p>
      <w:pPr>
        <w:wordWrap w:val="0"/>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p>
      <w:pPr>
        <w:snapToGrid w:val="0"/>
        <w:spacing w:line="240" w:lineRule="atLeast"/>
        <w:rPr>
          <w:rFonts w:hint="eastAsia"/>
          <w:sz w:val="28"/>
          <w:szCs w:val="28"/>
        </w:rPr>
      </w:pPr>
      <w:r>
        <w:rPr>
          <w:rFonts w:hint="eastAsia" w:ascii="宋体" w:hAnsi="宋体" w:cs="宋体"/>
          <w:sz w:val="28"/>
          <w:szCs w:val="28"/>
        </w:rPr>
        <w:t xml:space="preserve"> </w:t>
      </w:r>
    </w:p>
    <w:p>
      <w:pPr>
        <w:jc w:val="center"/>
        <w:rPr>
          <w:rFonts w:hint="eastAsia" w:ascii="仿宋" w:hAnsi="仿宋" w:eastAsia="仿宋" w:cs="仿宋"/>
          <w:color w:val="auto"/>
          <w:sz w:val="40"/>
          <w:szCs w:val="40"/>
          <w:highlight w:val="none"/>
        </w:rPr>
      </w:pPr>
      <w:r>
        <w:rPr>
          <w:rFonts w:hint="eastAsia" w:ascii="仿宋" w:hAnsi="仿宋" w:eastAsia="仿宋" w:cs="仿宋"/>
          <w:color w:val="auto"/>
          <w:sz w:val="40"/>
          <w:szCs w:val="40"/>
          <w:lang w:val="en-US" w:eastAsia="zh-CN"/>
        </w:rPr>
        <w:t>市区公司</w:t>
      </w:r>
      <w:r>
        <w:rPr>
          <w:rFonts w:hint="eastAsia" w:ascii="仿宋" w:hAnsi="仿宋" w:eastAsia="仿宋" w:cs="仿宋"/>
          <w:i w:val="0"/>
          <w:iCs w:val="0"/>
          <w:caps w:val="0"/>
          <w:color w:val="444444"/>
          <w:spacing w:val="0"/>
          <w:sz w:val="40"/>
          <w:szCs w:val="40"/>
          <w:shd w:val="clear" w:color="auto" w:fill="FFFFFF"/>
        </w:rPr>
        <w:t>高压变频器功率单元升级改造</w:t>
      </w:r>
      <w:r>
        <w:rPr>
          <w:rFonts w:hint="eastAsia" w:ascii="仿宋" w:hAnsi="仿宋" w:eastAsia="仿宋" w:cs="仿宋"/>
          <w:color w:val="auto"/>
          <w:sz w:val="40"/>
          <w:szCs w:val="40"/>
          <w:lang w:val="en-US" w:eastAsia="zh-CN"/>
        </w:rPr>
        <w:t>买</w:t>
      </w:r>
      <w:r>
        <w:rPr>
          <w:rFonts w:hint="eastAsia" w:ascii="仿宋" w:hAnsi="仿宋" w:eastAsia="仿宋" w:cs="仿宋"/>
          <w:color w:val="auto"/>
          <w:sz w:val="40"/>
          <w:szCs w:val="40"/>
        </w:rPr>
        <w:t>卖合同</w:t>
      </w:r>
    </w:p>
    <w:p>
      <w:pPr>
        <w:jc w:val="both"/>
        <w:rPr>
          <w:rFonts w:hint="eastAsia" w:ascii="仿宋_GB2312" w:hAnsi="仿宋_GB2312" w:eastAsia="仿宋_GB2312" w:cs="仿宋_GB2312"/>
          <w:color w:val="auto"/>
          <w:sz w:val="28"/>
          <w:szCs w:val="28"/>
          <w:highlight w:val="none"/>
          <w:lang w:val="en-US"/>
        </w:rPr>
      </w:pPr>
      <w:r>
        <w:rPr>
          <w:rFonts w:hint="eastAsia" w:ascii="仿宋_GB2312" w:hAnsi="仿宋_GB2312" w:eastAsia="仿宋_GB2312" w:cs="仿宋_GB2312"/>
          <w:color w:val="auto"/>
          <w:sz w:val="28"/>
          <w:szCs w:val="28"/>
          <w:highlight w:val="none"/>
        </w:rPr>
        <w:t>甲方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 xml:space="preserve">                                  </w:t>
      </w:r>
      <w:r>
        <w:rPr>
          <w:rFonts w:hint="eastAsia" w:ascii="仿宋_GB2312" w:hAnsi="仿宋_GB2312" w:eastAsia="仿宋_GB2312" w:cs="仿宋_GB2312"/>
          <w:color w:val="auto"/>
          <w:sz w:val="28"/>
          <w:szCs w:val="28"/>
          <w:highlight w:val="none"/>
        </w:rPr>
        <w:t>合同编号：</w:t>
      </w:r>
    </w:p>
    <w:p>
      <w:pPr>
        <w:adjustRightInd w:val="0"/>
        <w:snapToGrid w:val="0"/>
        <w:spacing w:line="360" w:lineRule="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 xml:space="preserve">                                         </w:t>
      </w:r>
    </w:p>
    <w:p>
      <w:pPr>
        <w:adjustRightInd w:val="0"/>
        <w:snapToGrid w:val="0"/>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一、供货范围、价格、</w:t>
      </w:r>
      <w:r>
        <w:rPr>
          <w:rFonts w:hint="eastAsia" w:ascii="仿宋" w:hAnsi="仿宋" w:eastAsia="仿宋" w:cs="仿宋"/>
          <w:sz w:val="24"/>
          <w:szCs w:val="24"/>
          <w:lang w:val="en-US" w:eastAsia="zh-CN"/>
        </w:rPr>
        <w:t>计划名称、交货期</w:t>
      </w:r>
    </w:p>
    <w:tbl>
      <w:tblPr>
        <w:tblStyle w:val="32"/>
        <w:tblW w:w="991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2290"/>
        <w:gridCol w:w="705"/>
        <w:gridCol w:w="885"/>
        <w:gridCol w:w="1185"/>
        <w:gridCol w:w="1335"/>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76" w:hRule="atLeast"/>
          <w:jc w:val="center"/>
        </w:trPr>
        <w:tc>
          <w:tcPr>
            <w:tcW w:w="1902"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名称</w:t>
            </w:r>
          </w:p>
        </w:tc>
        <w:tc>
          <w:tcPr>
            <w:tcW w:w="2290"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规格</w:t>
            </w:r>
          </w:p>
        </w:tc>
        <w:tc>
          <w:tcPr>
            <w:tcW w:w="70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单位</w:t>
            </w:r>
          </w:p>
        </w:tc>
        <w:tc>
          <w:tcPr>
            <w:tcW w:w="88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数量</w:t>
            </w:r>
          </w:p>
        </w:tc>
        <w:tc>
          <w:tcPr>
            <w:tcW w:w="118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含税</w:t>
            </w:r>
          </w:p>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单价</w:t>
            </w:r>
          </w:p>
        </w:tc>
        <w:tc>
          <w:tcPr>
            <w:tcW w:w="1335"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总金额</w:t>
            </w:r>
          </w:p>
        </w:tc>
        <w:tc>
          <w:tcPr>
            <w:tcW w:w="1611" w:type="dxa"/>
            <w:noWrap w:val="0"/>
            <w:vAlign w:val="center"/>
          </w:tcPr>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rPr>
            </w:pPr>
            <w:r>
              <w:rPr>
                <w:rFonts w:hint="eastAsia" w:ascii="仿宋" w:hAnsi="仿宋" w:eastAsia="仿宋" w:cs="仿宋"/>
                <w:sz w:val="24"/>
                <w:szCs w:val="24"/>
              </w:rPr>
              <w:t>备注</w:t>
            </w:r>
          </w:p>
          <w:p>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品牌</w:t>
            </w:r>
            <w:r>
              <w:rPr>
                <w:rFonts w:hint="eastAsia" w:ascii="仿宋" w:hAnsi="仿宋" w:eastAsia="仿宋" w:cs="仿宋"/>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5" w:hRule="atLeast"/>
          <w:jc w:val="center"/>
        </w:trPr>
        <w:tc>
          <w:tcPr>
            <w:tcW w:w="1902"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sz w:val="24"/>
                <w:szCs w:val="24"/>
                <w:shd w:val="clear" w:color="auto" w:fill="FFFFFF"/>
              </w:rPr>
              <w:t>高压变频器功率单元升级改造</w:t>
            </w:r>
          </w:p>
        </w:tc>
        <w:tc>
          <w:tcPr>
            <w:tcW w:w="2290"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sz w:val="24"/>
                <w:szCs w:val="24"/>
                <w:shd w:val="clear" w:color="auto" w:fill="FFFFFF"/>
              </w:rPr>
              <w:t>详见技术要求</w:t>
            </w:r>
          </w:p>
        </w:tc>
        <w:tc>
          <w:tcPr>
            <w:tcW w:w="705"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i w:val="0"/>
                <w:iCs w:val="0"/>
                <w:caps w:val="0"/>
                <w:color w:val="444444"/>
                <w:spacing w:val="0"/>
                <w:kern w:val="0"/>
                <w:sz w:val="24"/>
                <w:szCs w:val="24"/>
                <w:lang w:val="en-US" w:eastAsia="zh-CN" w:bidi="ar"/>
              </w:rPr>
              <w:t>项</w:t>
            </w:r>
          </w:p>
        </w:tc>
        <w:tc>
          <w:tcPr>
            <w:tcW w:w="885" w:type="dxa"/>
            <w:noWrap w:val="0"/>
            <w:vAlign w:val="center"/>
          </w:tcPr>
          <w:p>
            <w:pPr>
              <w:keepNext w:val="0"/>
              <w:keepLines w:val="0"/>
              <w:widowControl/>
              <w:suppressLineNumbers w:val="0"/>
              <w:wordWrap/>
              <w:spacing w:before="0" w:beforeAutospacing="0" w:after="0" w:afterAutospacing="0"/>
              <w:ind w:left="0" w:right="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c>
          <w:tcPr>
            <w:tcW w:w="1185"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c>
          <w:tcPr>
            <w:tcW w:w="1335"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c>
          <w:tcPr>
            <w:tcW w:w="1611" w:type="dxa"/>
            <w:noWrap w:val="0"/>
            <w:vAlign w:val="center"/>
          </w:tcPr>
          <w:p>
            <w:pPr>
              <w:keepNext w:val="0"/>
              <w:keepLines w:val="0"/>
              <w:widowControl/>
              <w:suppressLineNumbers w:val="0"/>
              <w:wordWrap w:val="0"/>
              <w:spacing w:before="0" w:beforeAutospacing="0" w:after="0" w:afterAutospacing="0"/>
              <w:ind w:left="0" w:right="0"/>
              <w:jc w:val="center"/>
              <w:rPr>
                <w:rFonts w:hint="eastAsia" w:ascii="仿宋" w:hAnsi="仿宋" w:eastAsia="仿宋" w:cs="仿宋"/>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8" w:hRule="atLeast"/>
          <w:jc w:val="center"/>
        </w:trPr>
        <w:tc>
          <w:tcPr>
            <w:tcW w:w="9913" w:type="dxa"/>
            <w:gridSpan w:val="7"/>
            <w:noWrap w:val="0"/>
            <w:vAlign w:val="center"/>
          </w:tcPr>
          <w:p>
            <w:pPr>
              <w:keepNext w:val="0"/>
              <w:keepLines w:val="0"/>
              <w:suppressLineNumbers w:val="0"/>
              <w:bidi w:val="0"/>
              <w:spacing w:before="0" w:beforeAutospacing="0" w:after="0" w:afterAutospacing="0"/>
              <w:ind w:left="0" w:right="0"/>
              <w:rPr>
                <w:rFonts w:hint="eastAsia" w:ascii="仿宋" w:hAnsi="仿宋" w:eastAsia="仿宋" w:cs="仿宋"/>
                <w:sz w:val="24"/>
                <w:szCs w:val="24"/>
                <w:highlight w:val="none"/>
              </w:rPr>
            </w:pPr>
            <w:r>
              <w:rPr>
                <w:rFonts w:hint="eastAsia" w:ascii="仿宋" w:hAnsi="仿宋" w:eastAsia="仿宋" w:cs="仿宋"/>
                <w:sz w:val="24"/>
                <w:szCs w:val="24"/>
                <w:highlight w:val="none"/>
              </w:rPr>
              <w:t>合计人民币金额（大写）：</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小写：</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6" w:hRule="atLeast"/>
          <w:jc w:val="center"/>
        </w:trPr>
        <w:tc>
          <w:tcPr>
            <w:tcW w:w="9913" w:type="dxa"/>
            <w:gridSpan w:val="7"/>
            <w:noWrap w:val="0"/>
            <w:vAlign w:val="center"/>
          </w:tcPr>
          <w:p>
            <w:pPr>
              <w:keepNext w:val="0"/>
              <w:keepLines w:val="0"/>
              <w:suppressLineNumbers w:val="0"/>
              <w:adjustRightInd w:val="0"/>
              <w:snapToGrid w:val="0"/>
              <w:spacing w:before="0" w:beforeAutospacing="0" w:after="0" w:afterAutospacing="0" w:line="360" w:lineRule="auto"/>
              <w:ind w:left="0" w:right="0"/>
              <w:jc w:val="left"/>
              <w:rPr>
                <w:rFonts w:hint="default"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交货期</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合同签订后</w:t>
            </w:r>
            <w:r>
              <w:rPr>
                <w:rFonts w:hint="eastAsia" w:ascii="仿宋" w:hAnsi="仿宋" w:eastAsia="仿宋" w:cs="仿宋"/>
                <w:sz w:val="24"/>
                <w:szCs w:val="24"/>
                <w:highlight w:val="none"/>
                <w:lang w:val="en-US" w:eastAsia="zh-CN"/>
              </w:rPr>
              <w:t>40天内到货，项目安装应根据甲方实际生产情况决定，自具备施工条件之日起，全部工作须在30日内完成。</w:t>
            </w:r>
          </w:p>
        </w:tc>
      </w:tr>
    </w:tbl>
    <w:p>
      <w:pPr>
        <w:adjustRightInd w:val="0"/>
        <w:snapToGrid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w:t>
      </w:r>
      <w:r>
        <w:rPr>
          <w:rFonts w:hint="eastAsia" w:ascii="仿宋" w:hAnsi="仿宋" w:eastAsia="仿宋" w:cs="仿宋"/>
          <w:strike w:val="0"/>
          <w:color w:val="auto"/>
          <w:sz w:val="24"/>
          <w:szCs w:val="24"/>
          <w:highlight w:val="none"/>
          <w:lang w:val="en-US" w:eastAsia="zh-CN"/>
        </w:rPr>
        <w:t>产品（设备）的质量与技术标准应同时符合以下要求，并以其中更严格者为准：（1）中华人民共和国国家、行业及地方的强制性标准；（2）本合同附件一《技术规范书》中载明的标准及甲方书面提出的其他技术要求”</w:t>
      </w:r>
    </w:p>
    <w:p>
      <w:pPr>
        <w:adjustRightInd w:val="0"/>
        <w:snapToGrid w:val="0"/>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rPr>
        <w:t>三、交货地点及联系人</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响</w:t>
      </w:r>
      <w:r>
        <w:rPr>
          <w:rFonts w:hint="eastAsia" w:ascii="仿宋" w:hAnsi="仿宋" w:eastAsia="仿宋" w:cs="仿宋"/>
          <w:color w:val="auto"/>
          <w:sz w:val="24"/>
          <w:szCs w:val="24"/>
          <w:highlight w:val="none"/>
          <w:lang w:val="en-US" w:eastAsia="zh-CN"/>
        </w:rPr>
        <w:t>应甲方要求</w:t>
      </w:r>
      <w:r>
        <w:rPr>
          <w:rFonts w:hint="eastAsia" w:ascii="仿宋" w:hAnsi="仿宋" w:eastAsia="仿宋" w:cs="仿宋"/>
          <w:sz w:val="24"/>
          <w:szCs w:val="24"/>
          <w:highlight w:val="none"/>
        </w:rPr>
        <w:t>，联系人：</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电话：</w:t>
      </w:r>
      <w:r>
        <w:rPr>
          <w:rFonts w:hint="eastAsia" w:ascii="仿宋" w:hAnsi="仿宋" w:eastAsia="仿宋" w:cs="仿宋"/>
          <w:sz w:val="24"/>
          <w:szCs w:val="24"/>
          <w:highlight w:val="none"/>
          <w:lang w:val="en-US" w:eastAsia="zh-CN"/>
        </w:rPr>
        <w:t xml:space="preserve"> </w:t>
      </w:r>
    </w:p>
    <w:p>
      <w:pPr>
        <w:adjustRightInd w:val="0"/>
        <w:snapToGrid w:val="0"/>
        <w:spacing w:line="360" w:lineRule="auto"/>
        <w:ind w:firstLine="480" w:firstLineChars="200"/>
        <w:rPr>
          <w:rFonts w:hint="eastAsia" w:ascii="仿宋" w:hAnsi="仿宋" w:eastAsia="仿宋" w:cs="仿宋"/>
          <w:b w:val="0"/>
          <w:bCs/>
          <w:color w:val="auto"/>
          <w:sz w:val="24"/>
          <w:szCs w:val="24"/>
          <w:highlight w:val="none"/>
          <w:u w:val="none"/>
          <w:lang w:val="en-US" w:eastAsia="zh-CN"/>
        </w:rPr>
      </w:pPr>
      <w:r>
        <w:rPr>
          <w:rFonts w:hint="eastAsia" w:ascii="仿宋" w:hAnsi="仿宋" w:eastAsia="仿宋" w:cs="仿宋"/>
          <w:color w:val="auto"/>
          <w:sz w:val="24"/>
          <w:szCs w:val="24"/>
          <w:highlight w:val="none"/>
        </w:rPr>
        <w:t>四、运输方式及费用负担：乙方</w:t>
      </w:r>
      <w:r>
        <w:rPr>
          <w:rFonts w:hint="eastAsia" w:ascii="仿宋" w:hAnsi="仿宋" w:eastAsia="仿宋" w:cs="仿宋"/>
          <w:color w:val="auto"/>
          <w:sz w:val="24"/>
          <w:szCs w:val="24"/>
          <w:highlight w:val="none"/>
          <w:lang w:val="en-US" w:eastAsia="zh-CN"/>
        </w:rPr>
        <w:t>须</w:t>
      </w:r>
      <w:r>
        <w:rPr>
          <w:rFonts w:hint="eastAsia" w:ascii="仿宋" w:hAnsi="仿宋" w:eastAsia="仿宋" w:cs="仿宋"/>
          <w:color w:val="auto"/>
          <w:sz w:val="24"/>
          <w:szCs w:val="24"/>
          <w:highlight w:val="none"/>
        </w:rPr>
        <w:t>按照安全合理的运输方式</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包装标准</w:t>
      </w:r>
      <w:r>
        <w:rPr>
          <w:rFonts w:hint="eastAsia" w:ascii="仿宋" w:hAnsi="仿宋" w:eastAsia="仿宋" w:cs="仿宋"/>
          <w:color w:val="auto"/>
          <w:sz w:val="24"/>
          <w:szCs w:val="24"/>
          <w:highlight w:val="none"/>
          <w:lang w:val="en-US" w:eastAsia="zh-CN"/>
        </w:rPr>
        <w:t>以及</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val="en-US" w:eastAsia="zh-CN"/>
        </w:rPr>
        <w:t>相关要求</w:t>
      </w:r>
      <w:r>
        <w:rPr>
          <w:rFonts w:hint="eastAsia" w:ascii="仿宋" w:hAnsi="仿宋" w:eastAsia="仿宋" w:cs="仿宋"/>
          <w:color w:val="auto"/>
          <w:sz w:val="24"/>
          <w:szCs w:val="24"/>
          <w:highlight w:val="none"/>
        </w:rPr>
        <w:t>提供货物运输服务，并要安全、及时、将货物运至甲方指定的目的地，</w:t>
      </w:r>
      <w:r>
        <w:rPr>
          <w:rFonts w:hint="eastAsia" w:ascii="仿宋" w:hAnsi="仿宋" w:eastAsia="仿宋" w:cs="仿宋"/>
          <w:color w:val="auto"/>
          <w:sz w:val="24"/>
          <w:szCs w:val="24"/>
          <w:highlight w:val="none"/>
          <w:lang w:val="en-US" w:eastAsia="zh-CN"/>
        </w:rPr>
        <w:t>全部货物</w:t>
      </w:r>
      <w:r>
        <w:rPr>
          <w:rFonts w:hint="eastAsia" w:ascii="仿宋" w:hAnsi="仿宋" w:eastAsia="仿宋" w:cs="仿宋"/>
          <w:color w:val="auto"/>
          <w:sz w:val="24"/>
          <w:szCs w:val="24"/>
          <w:highlight w:val="none"/>
        </w:rPr>
        <w:t>验收合格、双方签字确认</w:t>
      </w:r>
      <w:r>
        <w:rPr>
          <w:rFonts w:hint="eastAsia" w:ascii="仿宋" w:hAnsi="仿宋" w:eastAsia="仿宋" w:cs="仿宋"/>
          <w:color w:val="auto"/>
          <w:sz w:val="24"/>
          <w:szCs w:val="24"/>
          <w:highlight w:val="none"/>
          <w:lang w:val="en-US" w:eastAsia="zh-CN"/>
        </w:rPr>
        <w:t>即为乙方完成交付。交付前全部</w:t>
      </w:r>
      <w:r>
        <w:rPr>
          <w:rFonts w:hint="eastAsia" w:ascii="仿宋" w:hAnsi="仿宋" w:eastAsia="仿宋" w:cs="仿宋"/>
          <w:color w:val="auto"/>
          <w:sz w:val="24"/>
          <w:szCs w:val="24"/>
          <w:highlight w:val="none"/>
        </w:rPr>
        <w:t>费用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风险</w:t>
      </w:r>
      <w:r>
        <w:rPr>
          <w:rFonts w:hint="eastAsia" w:ascii="仿宋" w:hAnsi="仿宋" w:eastAsia="仿宋" w:cs="仿宋"/>
          <w:color w:val="auto"/>
          <w:sz w:val="24"/>
          <w:szCs w:val="24"/>
          <w:highlight w:val="none"/>
        </w:rPr>
        <w:t>（包含卸车费）</w:t>
      </w:r>
      <w:r>
        <w:rPr>
          <w:rFonts w:hint="eastAsia" w:ascii="仿宋" w:hAnsi="仿宋" w:eastAsia="仿宋" w:cs="仿宋"/>
          <w:color w:val="auto"/>
          <w:sz w:val="24"/>
          <w:szCs w:val="24"/>
          <w:highlight w:val="none"/>
          <w:lang w:val="en-US" w:eastAsia="zh-CN"/>
        </w:rPr>
        <w:t>均</w:t>
      </w:r>
      <w:r>
        <w:rPr>
          <w:rFonts w:hint="eastAsia" w:ascii="仿宋" w:hAnsi="仿宋" w:eastAsia="仿宋" w:cs="仿宋"/>
          <w:color w:val="auto"/>
          <w:sz w:val="24"/>
          <w:szCs w:val="24"/>
          <w:highlight w:val="none"/>
        </w:rPr>
        <w:t>由乙方承担，运输和卸车安全由乙方负责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甲方不承担任何责任，在运输过程中发生的货物盗窃、丢失、泄漏、受潮过水、变质失效、损坏、交货不清、人员伤亡、车辆损坏、交通事故、环境污染等，乙方承担全部责任及损失。</w:t>
      </w:r>
    </w:p>
    <w:p>
      <w:pPr>
        <w:adjustRightInd w:val="0"/>
        <w:snapToGrid w:val="0"/>
        <w:spacing w:line="360" w:lineRule="auto"/>
        <w:ind w:firstLine="480" w:firstLineChars="200"/>
        <w:rPr>
          <w:rFonts w:hint="eastAsia" w:ascii="仿宋" w:hAnsi="仿宋" w:eastAsia="仿宋" w:cs="仿宋"/>
          <w:color w:val="0000FF"/>
          <w:sz w:val="24"/>
          <w:szCs w:val="24"/>
          <w:highlight w:val="none"/>
        </w:rPr>
      </w:pPr>
      <w:r>
        <w:rPr>
          <w:rFonts w:hint="eastAsia" w:ascii="仿宋" w:hAnsi="仿宋" w:eastAsia="仿宋" w:cs="仿宋"/>
          <w:color w:val="auto"/>
          <w:sz w:val="24"/>
          <w:szCs w:val="24"/>
          <w:highlight w:val="none"/>
        </w:rPr>
        <w:t>五、质保期：货物（设备）质保期从验收合格、双方签字确认后</w:t>
      </w:r>
      <w:r>
        <w:rPr>
          <w:rFonts w:hint="eastAsia" w:ascii="仿宋" w:hAnsi="仿宋" w:eastAsia="仿宋" w:cs="仿宋"/>
          <w:color w:val="auto"/>
          <w:sz w:val="24"/>
          <w:szCs w:val="24"/>
          <w:highlight w:val="none"/>
          <w:lang w:val="en-US" w:eastAsia="zh-CN"/>
        </w:rPr>
        <w:t>次日</w:t>
      </w:r>
      <w:r>
        <w:rPr>
          <w:rFonts w:hint="eastAsia" w:ascii="仿宋" w:hAnsi="仿宋" w:eastAsia="仿宋" w:cs="仿宋"/>
          <w:color w:val="auto"/>
          <w:sz w:val="24"/>
          <w:szCs w:val="24"/>
          <w:highlight w:val="none"/>
        </w:rPr>
        <w:t>开始计算，质保期</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年，期间发生问题由乙方负责免费处理，质保期重新自</w:t>
      </w:r>
      <w:r>
        <w:rPr>
          <w:rFonts w:hint="eastAsia" w:ascii="仿宋" w:hAnsi="仿宋" w:eastAsia="仿宋" w:cs="仿宋"/>
          <w:color w:val="auto"/>
          <w:sz w:val="24"/>
          <w:szCs w:val="24"/>
          <w:highlight w:val="none"/>
          <w:lang w:val="en-US" w:eastAsia="zh-CN"/>
        </w:rPr>
        <w:t>问题处理完毕、</w:t>
      </w:r>
      <w:r>
        <w:rPr>
          <w:rFonts w:hint="eastAsia" w:ascii="仿宋" w:hAnsi="仿宋" w:eastAsia="仿宋" w:cs="仿宋"/>
          <w:color w:val="auto"/>
          <w:sz w:val="24"/>
          <w:szCs w:val="24"/>
          <w:highlight w:val="none"/>
        </w:rPr>
        <w:t>验收合格</w:t>
      </w:r>
      <w:r>
        <w:rPr>
          <w:rFonts w:hint="eastAsia" w:ascii="仿宋" w:hAnsi="仿宋" w:eastAsia="仿宋" w:cs="仿宋"/>
          <w:color w:val="auto"/>
          <w:sz w:val="24"/>
          <w:szCs w:val="24"/>
          <w:highlight w:val="none"/>
          <w:lang w:val="en-US" w:eastAsia="zh-CN"/>
        </w:rPr>
        <w:t>起</w:t>
      </w:r>
      <w:r>
        <w:rPr>
          <w:rFonts w:hint="eastAsia" w:ascii="仿宋" w:hAnsi="仿宋" w:eastAsia="仿宋" w:cs="仿宋"/>
          <w:color w:val="auto"/>
          <w:sz w:val="24"/>
          <w:szCs w:val="24"/>
          <w:highlight w:val="none"/>
        </w:rPr>
        <w:t>开始计算。乙方应在接到甲方关于维保需求的通知后</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小时内响应，并在</w:t>
      </w:r>
      <w:r>
        <w:rPr>
          <w:rFonts w:hint="eastAsia" w:ascii="仿宋" w:hAnsi="仿宋" w:eastAsia="仿宋" w:cs="仿宋"/>
          <w:color w:val="auto"/>
          <w:sz w:val="24"/>
          <w:szCs w:val="24"/>
          <w:highlight w:val="none"/>
          <w:lang w:val="en-US" w:eastAsia="zh-CN"/>
        </w:rPr>
        <w:t>24</w:t>
      </w:r>
      <w:r>
        <w:rPr>
          <w:rFonts w:hint="eastAsia" w:ascii="仿宋" w:hAnsi="仿宋" w:eastAsia="仿宋" w:cs="仿宋"/>
          <w:color w:val="auto"/>
          <w:sz w:val="24"/>
          <w:szCs w:val="24"/>
          <w:highlight w:val="none"/>
        </w:rPr>
        <w:t>小时内到达现场进行维保工作。维保完成后，乙方应向甲方提交维保报告，经甲方确认后作为维保义务履行的依据。质保期内，乙方怠于履行维保义务</w:t>
      </w:r>
      <w:r>
        <w:rPr>
          <w:rFonts w:hint="eastAsia" w:ascii="仿宋" w:hAnsi="仿宋" w:eastAsia="仿宋" w:cs="仿宋"/>
          <w:color w:val="auto"/>
          <w:sz w:val="24"/>
          <w:szCs w:val="24"/>
          <w:highlight w:val="none"/>
          <w:lang w:val="en-US" w:eastAsia="zh-CN"/>
        </w:rPr>
        <w:t>或同一问题经两次维修仍未解决</w:t>
      </w:r>
      <w:r>
        <w:rPr>
          <w:rFonts w:hint="eastAsia" w:ascii="仿宋" w:hAnsi="仿宋" w:eastAsia="仿宋" w:cs="仿宋"/>
          <w:color w:val="auto"/>
          <w:sz w:val="24"/>
          <w:szCs w:val="24"/>
          <w:highlight w:val="none"/>
        </w:rPr>
        <w:t>的，甲方有权自行聘请第三方进行维修养护，由此给甲方造成的额外费用，由乙方</w:t>
      </w:r>
      <w:r>
        <w:rPr>
          <w:rFonts w:hint="eastAsia" w:ascii="仿宋" w:hAnsi="仿宋" w:eastAsia="仿宋" w:cs="仿宋"/>
          <w:color w:val="auto"/>
          <w:sz w:val="24"/>
          <w:szCs w:val="24"/>
          <w:highlight w:val="none"/>
          <w:lang w:val="en-US" w:eastAsia="zh-CN"/>
        </w:rPr>
        <w:t>无条件</w:t>
      </w:r>
      <w:r>
        <w:rPr>
          <w:rFonts w:hint="eastAsia" w:ascii="仿宋" w:hAnsi="仿宋" w:eastAsia="仿宋" w:cs="仿宋"/>
          <w:color w:val="auto"/>
          <w:sz w:val="24"/>
          <w:szCs w:val="24"/>
          <w:highlight w:val="none"/>
        </w:rPr>
        <w:t>承担</w:t>
      </w:r>
      <w:r>
        <w:rPr>
          <w:rFonts w:hint="eastAsia" w:ascii="仿宋" w:hAnsi="仿宋" w:eastAsia="仿宋" w:cs="仿宋"/>
          <w:color w:val="0000FF"/>
          <w:sz w:val="24"/>
          <w:szCs w:val="24"/>
          <w:highlight w:val="none"/>
        </w:rPr>
        <w:t>。</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rPr>
        <w:t>质量与检验</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供方应保证设备所采用的工艺系统的主要材料及部件等，是技术先进并经过实践证明是成熟可靠的。</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供方应严格按照图纸、技术要求和有关标准制作和检验。</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设备制造过程中需方可随时到现场进行监督制造，供方应予以配合。</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设备验收包括：数量、外观质量、随机备品备件、装箱单、随机资料（质量检验合格证、竣工图纸）及包装完整无破损。</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每台设备上均应订有铭牌（内容包括：制造单位、设备名称、型号规格、出厂日期等）。</w:t>
      </w:r>
    </w:p>
    <w:p>
      <w:pPr>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质量异议期为自设备安装调试完毕投运之日起三个月。</w:t>
      </w:r>
    </w:p>
    <w:p>
      <w:pPr>
        <w:adjustRightInd w:val="0"/>
        <w:snapToGrid w:val="0"/>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七</w:t>
      </w:r>
      <w:r>
        <w:rPr>
          <w:rFonts w:hint="eastAsia" w:ascii="仿宋" w:hAnsi="仿宋" w:eastAsia="仿宋" w:cs="仿宋"/>
          <w:color w:val="auto"/>
          <w:sz w:val="24"/>
          <w:szCs w:val="24"/>
        </w:rPr>
        <w:t>、结算方式：</w:t>
      </w:r>
    </w:p>
    <w:p>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1、货物经甲方验收合格后，甲方付给乙方40%货款，安装调试一个月后无质量问题</w:t>
      </w:r>
      <w:r>
        <w:rPr>
          <w:rFonts w:hint="eastAsia" w:ascii="仿宋" w:hAnsi="仿宋" w:eastAsia="仿宋" w:cs="仿宋"/>
          <w:color w:val="auto"/>
          <w:sz w:val="24"/>
          <w:szCs w:val="24"/>
          <w:highlight w:val="none"/>
        </w:rPr>
        <w:t>乙方开具税率为</w:t>
      </w:r>
      <w:r>
        <w:rPr>
          <w:rFonts w:hint="eastAsia" w:ascii="仿宋" w:hAnsi="仿宋" w:eastAsia="仿宋" w:cs="仿宋"/>
          <w:color w:val="auto"/>
          <w:sz w:val="24"/>
          <w:szCs w:val="24"/>
          <w:highlight w:val="none"/>
          <w:lang w:val="en-US" w:eastAsia="zh-CN"/>
        </w:rPr>
        <w:t>13</w:t>
      </w:r>
      <w:r>
        <w:rPr>
          <w:rFonts w:hint="eastAsia" w:ascii="仿宋" w:hAnsi="仿宋" w:eastAsia="仿宋" w:cs="仿宋"/>
          <w:color w:val="auto"/>
          <w:sz w:val="24"/>
          <w:szCs w:val="24"/>
          <w:highlight w:val="none"/>
        </w:rPr>
        <w:t>%的全额增值税专用发票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甲方付给乙方50%货款，剩余合同总价的10%作为质保金，</w:t>
      </w:r>
      <w:r>
        <w:rPr>
          <w:rFonts w:hint="eastAsia" w:ascii="仿宋" w:hAnsi="仿宋" w:eastAsia="仿宋" w:cs="仿宋"/>
          <w:strike w:val="0"/>
          <w:color w:val="auto"/>
          <w:sz w:val="24"/>
          <w:szCs w:val="24"/>
          <w:highlight w:val="none"/>
          <w:lang w:val="en-US" w:eastAsia="zh-CN"/>
        </w:rPr>
        <w:t>在质保期届满，甲方应组织相关人员对乙方在质保期内的维保工作进行评估，若确认乙方已完全履行维保义务，甲方应将余款付清，</w:t>
      </w:r>
      <w:r>
        <w:rPr>
          <w:rFonts w:hint="eastAsia" w:ascii="仿宋" w:hAnsi="仿宋" w:eastAsia="仿宋" w:cs="仿宋"/>
          <w:color w:val="auto"/>
          <w:sz w:val="24"/>
          <w:szCs w:val="24"/>
          <w:highlight w:val="none"/>
        </w:rPr>
        <w:t>因乙方发票提供不及时造成的付款延迟等一切损失由乙方自行承担</w:t>
      </w:r>
      <w:r>
        <w:rPr>
          <w:rFonts w:hint="eastAsia" w:ascii="仿宋" w:hAnsi="仿宋" w:eastAsia="仿宋" w:cs="仿宋"/>
          <w:color w:val="auto"/>
          <w:sz w:val="24"/>
          <w:szCs w:val="24"/>
          <w:highlight w:val="none"/>
          <w:lang w:eastAsia="zh-CN"/>
        </w:rPr>
        <w:t>。</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b w:val="0"/>
          <w:color w:val="auto"/>
          <w:sz w:val="24"/>
          <w:szCs w:val="24"/>
          <w:lang w:eastAsia="zh-CN"/>
        </w:rPr>
        <w:t>付款方式</w:t>
      </w:r>
      <w:r>
        <w:rPr>
          <w:rFonts w:hint="eastAsia" w:ascii="仿宋" w:hAnsi="仿宋" w:eastAsia="仿宋" w:cs="仿宋"/>
          <w:b w:val="0"/>
          <w:color w:val="auto"/>
          <w:sz w:val="24"/>
          <w:szCs w:val="24"/>
        </w:rPr>
        <w:t>：银行电汇或承兑汇票。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八</w:t>
      </w:r>
      <w:r>
        <w:rPr>
          <w:rFonts w:hint="eastAsia" w:ascii="仿宋" w:hAnsi="仿宋" w:eastAsia="仿宋" w:cs="仿宋"/>
          <w:color w:val="auto"/>
          <w:sz w:val="24"/>
          <w:szCs w:val="24"/>
        </w:rPr>
        <w:t>、违约责任：</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1、因货物（设备）引起的一切纠纷由乙方负责解决，并赔偿由此给甲方造成的所有损失，包括但不限于直接经济损失、预期可得利益、维权所需的诉讼费、保全费、</w:t>
      </w:r>
      <w:r>
        <w:rPr>
          <w:rFonts w:hint="eastAsia" w:ascii="仿宋" w:hAnsi="仿宋" w:eastAsia="仿宋" w:cs="仿宋"/>
          <w:color w:val="auto"/>
          <w:sz w:val="24"/>
          <w:szCs w:val="24"/>
          <w:lang w:val="en-US" w:eastAsia="zh-CN"/>
        </w:rPr>
        <w:t>保险费、公证费、</w:t>
      </w:r>
      <w:r>
        <w:rPr>
          <w:rFonts w:hint="eastAsia" w:ascii="仿宋" w:hAnsi="仿宋" w:eastAsia="仿宋" w:cs="仿宋"/>
          <w:color w:val="auto"/>
          <w:sz w:val="24"/>
          <w:szCs w:val="24"/>
        </w:rPr>
        <w:t>担保费、律师费、差旅费等所有费用；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逾期交付货物（设备）、交付货物（设备）质量或数量不符合约定、或未按约定履行质保义务的，应赔偿由此给甲方造成的所有损失，包括但不限于直接经济损失、预期可得利益、维权所需的诉讼费、保全费、担保费、律师费、</w:t>
      </w:r>
      <w:r>
        <w:rPr>
          <w:rFonts w:hint="eastAsia" w:ascii="仿宋" w:hAnsi="仿宋" w:eastAsia="仿宋" w:cs="仿宋"/>
          <w:color w:val="auto"/>
          <w:sz w:val="24"/>
          <w:szCs w:val="24"/>
          <w:lang w:val="en-US" w:eastAsia="zh-CN"/>
        </w:rPr>
        <w:t>保险费、公证费、</w:t>
      </w:r>
      <w:r>
        <w:rPr>
          <w:rFonts w:hint="eastAsia" w:ascii="仿宋" w:hAnsi="仿宋" w:eastAsia="仿宋" w:cs="仿宋"/>
          <w:color w:val="auto"/>
          <w:sz w:val="24"/>
          <w:szCs w:val="24"/>
        </w:rPr>
        <w:t>差旅费等所有费用；</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3、乙方违反合同约定，还应按合同总金额的10%向甲方支付违约金。未尽之处，依据《中华人民共和国民法典》执行。</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九</w:t>
      </w:r>
      <w:r>
        <w:rPr>
          <w:rFonts w:hint="eastAsia" w:ascii="仿宋" w:hAnsi="仿宋" w:eastAsia="仿宋" w:cs="仿宋"/>
          <w:color w:val="auto"/>
          <w:sz w:val="24"/>
          <w:szCs w:val="24"/>
        </w:rPr>
        <w:t>、解决合同纠纷办法：双方协商解决，协商不成依法向甲方所在地人民法院起诉。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十</w:t>
      </w:r>
      <w:r>
        <w:rPr>
          <w:rFonts w:hint="eastAsia" w:ascii="仿宋" w:hAnsi="仿宋" w:eastAsia="仿宋" w:cs="仿宋"/>
          <w:color w:val="auto"/>
          <w:sz w:val="24"/>
          <w:szCs w:val="24"/>
        </w:rPr>
        <w:t>、反商业贿赂协议：</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1、本协议所指商业贿赂是指乙方为获取与甲方人的合作的利益，乙方或其他单位工作人员给予甲方员工的一切精神及物质上之间或间接的馈赠，如回扣、娱乐、旅游等。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2、甲方任何员工、部门不得以甲方或非甲方名义向乙方索取或收受金钱、物质及任何形式的馈赠。</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乙方或乙方工作人员不得以乙方或个人名义向甲方任何员工私下直接或间接赠送礼金、物品、有价证券或采取其他变相手段提供不正当利益。否则均视为侵害甲方利益的行为，礼金包括但不限于现金、支票、信用卡等；物品及馈赠品包括但不限于礼品、样品或其他商品，娱乐票券、会员卡等，货币或货物形式的回扣，乙方付款的旅游、宴请及个人服务等。</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若甲方员工要求乙方给予其他形式的不正当利益，乙方必须及时投诉、并提供相关证据给甲方，经甲方查实后作出处理，并为乙方保密，对于乙方的协助，甲方将给予乙方相应的奖励并将根据情况给予乙方更多的商业机会。</w:t>
      </w:r>
    </w:p>
    <w:p>
      <w:pPr>
        <w:adjustRightInd w:val="0"/>
        <w:snapToGrid w:val="0"/>
        <w:spacing w:line="360" w:lineRule="auto"/>
        <w:ind w:firstLine="480" w:firstLineChars="200"/>
        <w:rPr>
          <w:rFonts w:hint="eastAsia" w:ascii="仿宋" w:hAnsi="仿宋" w:eastAsia="仿宋" w:cs="仿宋"/>
          <w:strike w:val="0"/>
          <w:sz w:val="24"/>
          <w:szCs w:val="24"/>
          <w:highlight w:val="none"/>
          <w:lang w:eastAsia="zh-CN"/>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rPr>
        <w:t>：其</w:t>
      </w:r>
      <w:r>
        <w:rPr>
          <w:rFonts w:hint="eastAsia" w:ascii="仿宋" w:hAnsi="仿宋" w:eastAsia="仿宋" w:cs="仿宋"/>
          <w:sz w:val="24"/>
          <w:szCs w:val="24"/>
          <w:highlight w:val="none"/>
        </w:rPr>
        <w:t>它约定</w:t>
      </w:r>
      <w:r>
        <w:rPr>
          <w:rFonts w:hint="eastAsia" w:ascii="仿宋" w:hAnsi="仿宋" w:eastAsia="仿宋" w:cs="仿宋"/>
          <w:strike w:val="0"/>
          <w:sz w:val="24"/>
          <w:szCs w:val="24"/>
          <w:highlight w:val="none"/>
          <w:lang w:eastAsia="zh-CN"/>
        </w:rPr>
        <w:t>：</w:t>
      </w:r>
    </w:p>
    <w:p>
      <w:pPr>
        <w:adjustRightInd w:val="0"/>
        <w:snapToGrid w:val="0"/>
        <w:spacing w:line="360" w:lineRule="auto"/>
        <w:ind w:firstLine="480" w:firstLineChars="200"/>
        <w:rPr>
          <w:rFonts w:hint="eastAsia" w:ascii="仿宋" w:hAnsi="仿宋" w:eastAsia="仿宋" w:cs="仿宋"/>
          <w:b w:val="0"/>
          <w:sz w:val="24"/>
          <w:szCs w:val="24"/>
          <w:highlight w:val="none"/>
          <w:lang w:val="en-US" w:eastAsia="zh-CN"/>
        </w:rPr>
      </w:pPr>
      <w:r>
        <w:rPr>
          <w:rFonts w:hint="eastAsia" w:ascii="仿宋" w:hAnsi="仿宋" w:eastAsia="仿宋" w:cs="仿宋"/>
          <w:strike w:val="0"/>
          <w:sz w:val="24"/>
          <w:szCs w:val="24"/>
          <w:highlight w:val="none"/>
          <w:lang w:val="en-US" w:eastAsia="zh-CN"/>
        </w:rPr>
        <w:t>1、</w:t>
      </w:r>
      <w:r>
        <w:rPr>
          <w:rFonts w:hint="eastAsia" w:ascii="仿宋" w:hAnsi="仿宋" w:eastAsia="仿宋" w:cs="仿宋"/>
          <w:b w:val="0"/>
          <w:sz w:val="24"/>
          <w:szCs w:val="24"/>
          <w:highlight w:val="none"/>
        </w:rPr>
        <w:t>产品到货</w:t>
      </w:r>
      <w:r>
        <w:rPr>
          <w:rFonts w:hint="eastAsia" w:ascii="仿宋" w:hAnsi="仿宋" w:eastAsia="仿宋" w:cs="仿宋"/>
          <w:b w:val="0"/>
          <w:sz w:val="24"/>
          <w:szCs w:val="24"/>
          <w:highlight w:val="none"/>
          <w:lang w:eastAsia="zh-CN"/>
        </w:rPr>
        <w:t>按甲方要求</w:t>
      </w:r>
      <w:r>
        <w:rPr>
          <w:rFonts w:hint="eastAsia" w:ascii="仿宋" w:hAnsi="仿宋" w:eastAsia="仿宋" w:cs="仿宋"/>
          <w:b w:val="0"/>
          <w:sz w:val="24"/>
          <w:szCs w:val="24"/>
          <w:highlight w:val="none"/>
        </w:rPr>
        <w:t>附带</w:t>
      </w:r>
      <w:r>
        <w:rPr>
          <w:rFonts w:hint="eastAsia" w:ascii="仿宋" w:hAnsi="仿宋" w:eastAsia="仿宋" w:cs="仿宋"/>
          <w:b w:val="0"/>
          <w:sz w:val="24"/>
          <w:szCs w:val="24"/>
          <w:highlight w:val="none"/>
          <w:lang w:eastAsia="zh-CN"/>
        </w:rPr>
        <w:t>相关</w:t>
      </w:r>
      <w:r>
        <w:rPr>
          <w:rFonts w:hint="eastAsia" w:ascii="仿宋" w:hAnsi="仿宋" w:eastAsia="仿宋" w:cs="仿宋"/>
          <w:b w:val="0"/>
          <w:sz w:val="24"/>
          <w:szCs w:val="24"/>
          <w:highlight w:val="none"/>
        </w:rPr>
        <w:t>产品合格证</w:t>
      </w:r>
      <w:r>
        <w:rPr>
          <w:rFonts w:hint="eastAsia" w:ascii="仿宋" w:hAnsi="仿宋" w:eastAsia="仿宋" w:cs="仿宋"/>
          <w:b w:val="0"/>
          <w:sz w:val="24"/>
          <w:szCs w:val="24"/>
          <w:highlight w:val="none"/>
          <w:lang w:eastAsia="zh-CN"/>
        </w:rPr>
        <w:t>、材</w:t>
      </w:r>
      <w:r>
        <w:rPr>
          <w:rFonts w:hint="eastAsia" w:ascii="仿宋" w:hAnsi="仿宋" w:eastAsia="仿宋" w:cs="仿宋"/>
          <w:b w:val="0"/>
          <w:sz w:val="24"/>
          <w:szCs w:val="24"/>
          <w:highlight w:val="none"/>
        </w:rPr>
        <w:t>质单、出厂检验报告等证件。</w:t>
      </w:r>
    </w:p>
    <w:p>
      <w:pPr>
        <w:adjustRightInd w:val="0"/>
        <w:snapToGrid w:val="0"/>
        <w:spacing w:line="360" w:lineRule="auto"/>
        <w:ind w:firstLine="480" w:firstLineChars="200"/>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2、甲方有权根据乙方的履</w:t>
      </w:r>
      <w:r>
        <w:rPr>
          <w:rFonts w:hint="eastAsia" w:ascii="仿宋" w:hAnsi="仿宋" w:eastAsia="仿宋" w:cs="仿宋"/>
          <w:b w:val="0"/>
          <w:color w:val="auto"/>
          <w:sz w:val="24"/>
          <w:szCs w:val="24"/>
          <w:lang w:val="en-US" w:eastAsia="zh-CN"/>
        </w:rPr>
        <w:t>行情</w:t>
      </w:r>
      <w:r>
        <w:rPr>
          <w:rFonts w:hint="eastAsia" w:ascii="仿宋" w:hAnsi="仿宋" w:eastAsia="仿宋" w:cs="仿宋"/>
          <w:strike w:val="0"/>
          <w:color w:val="auto"/>
          <w:sz w:val="24"/>
          <w:szCs w:val="24"/>
          <w:highlight w:val="none"/>
          <w:lang w:val="en-US" w:eastAsia="zh-CN"/>
        </w:rPr>
        <w:t>况，</w:t>
      </w:r>
      <w:r>
        <w:rPr>
          <w:rFonts w:hint="eastAsia" w:ascii="仿宋" w:hAnsi="仿宋" w:eastAsia="仿宋" w:cs="仿宋"/>
          <w:color w:val="auto"/>
          <w:sz w:val="24"/>
          <w:szCs w:val="24"/>
          <w:highlight w:val="none"/>
          <w:lang w:val="en-US" w:eastAsia="zh-CN"/>
        </w:rPr>
        <w:t>当乙方出现本合同第八条约定的违约情形，或法律法规规定的其他根本违约行为时，甲方有权单方书面通知乙方解除本合同。</w:t>
      </w:r>
    </w:p>
    <w:p>
      <w:pPr>
        <w:adjustRightInd w:val="0"/>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b w:val="0"/>
          <w:sz w:val="24"/>
          <w:szCs w:val="24"/>
          <w:lang w:val="en-US" w:eastAsia="zh-CN"/>
        </w:rPr>
        <w:t>3、</w:t>
      </w:r>
      <w:r>
        <w:rPr>
          <w:rFonts w:hint="eastAsia" w:ascii="仿宋" w:hAnsi="仿宋" w:eastAsia="仿宋" w:cs="仿宋"/>
          <w:sz w:val="24"/>
          <w:szCs w:val="24"/>
        </w:rPr>
        <w:t>合同中记载的双方各自联系方式为双方约定的联系方式，双方来往函件均发往该联系方式，并适用于本合同下的相关诉讼、仲裁及行政处理文件和材料的送达。</w:t>
      </w:r>
    </w:p>
    <w:p>
      <w:pPr>
        <w:adjustRightInd w:val="0"/>
        <w:snapToGrid w:val="0"/>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sz w:val="24"/>
          <w:szCs w:val="24"/>
          <w:lang w:val="en-US" w:eastAsia="zh-CN"/>
        </w:rPr>
        <w:t>4、</w:t>
      </w:r>
      <w:r>
        <w:rPr>
          <w:rFonts w:hint="eastAsia" w:ascii="仿宋" w:hAnsi="仿宋" w:eastAsia="仿宋" w:cs="仿宋"/>
          <w:color w:val="auto"/>
          <w:sz w:val="24"/>
          <w:szCs w:val="24"/>
        </w:rPr>
        <w:t>设备在安装、调试过程中，根据需方需要，供方应派工程技术人员现场服务，处理现场出现的技术问题，协助需方控制安装质量。</w:t>
      </w:r>
    </w:p>
    <w:p>
      <w:pPr>
        <w:adjustRightInd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十</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：本合同自签</w:t>
      </w:r>
      <w:r>
        <w:rPr>
          <w:rFonts w:hint="eastAsia" w:ascii="仿宋" w:hAnsi="仿宋" w:eastAsia="仿宋" w:cs="仿宋"/>
          <w:color w:val="auto"/>
          <w:sz w:val="24"/>
          <w:szCs w:val="24"/>
          <w:lang w:val="en-US" w:eastAsia="zh-CN"/>
        </w:rPr>
        <w:t>签章之日</w:t>
      </w:r>
      <w:r>
        <w:rPr>
          <w:rFonts w:hint="eastAsia" w:ascii="仿宋" w:hAnsi="仿宋" w:eastAsia="仿宋" w:cs="仿宋"/>
          <w:color w:val="auto"/>
          <w:sz w:val="24"/>
          <w:szCs w:val="24"/>
        </w:rPr>
        <w:t>起生效，本合同一式五份，乙方一份，甲方四份</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招标书、</w:t>
      </w:r>
      <w:r>
        <w:rPr>
          <w:rFonts w:hint="eastAsia" w:ascii="仿宋" w:hAnsi="仿宋" w:eastAsia="仿宋" w:cs="仿宋"/>
          <w:color w:val="auto"/>
          <w:sz w:val="24"/>
          <w:szCs w:val="24"/>
        </w:rPr>
        <w:t>技术协议及附表</w:t>
      </w:r>
      <w:r>
        <w:rPr>
          <w:rFonts w:hint="eastAsia" w:ascii="仿宋" w:hAnsi="仿宋" w:eastAsia="仿宋" w:cs="仿宋"/>
          <w:color w:val="auto"/>
          <w:sz w:val="24"/>
          <w:szCs w:val="24"/>
          <w:lang w:val="en-US" w:eastAsia="zh-CN"/>
        </w:rPr>
        <w:t>作为合同附件具有同等法律效力（技术协议需签章）</w:t>
      </w:r>
      <w:r>
        <w:rPr>
          <w:rFonts w:hint="eastAsia" w:ascii="仿宋" w:hAnsi="仿宋" w:eastAsia="仿宋" w:cs="仿宋"/>
          <w:color w:val="auto"/>
          <w:sz w:val="24"/>
          <w:szCs w:val="24"/>
        </w:rPr>
        <w:t>。</w:t>
      </w:r>
    </w:p>
    <w:tbl>
      <w:tblPr>
        <w:tblStyle w:val="32"/>
        <w:tblW w:w="99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4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6" w:hRule="atLeast"/>
          <w:jc w:val="center"/>
        </w:trPr>
        <w:tc>
          <w:tcPr>
            <w:tcW w:w="5156" w:type="dxa"/>
            <w:tcBorders>
              <w:top w:val="single" w:color="auto" w:sz="4" w:space="0"/>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甲方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章）：</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开户行：</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帐号：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jc w:val="left"/>
              <w:rPr>
                <w:rFonts w:hint="eastAsia" w:ascii="仿宋" w:hAnsi="仿宋" w:eastAsia="仿宋" w:cs="仿宋"/>
                <w:color w:val="auto"/>
                <w:sz w:val="44"/>
                <w:szCs w:val="44"/>
                <w:highlight w:val="none"/>
              </w:rPr>
            </w:pPr>
            <w:r>
              <w:rPr>
                <w:rFonts w:hint="eastAsia" w:ascii="仿宋" w:hAnsi="仿宋" w:eastAsia="仿宋" w:cs="仿宋"/>
                <w:color w:val="auto"/>
                <w:sz w:val="24"/>
                <w:szCs w:val="24"/>
              </w:rPr>
              <w:t>纳税人识别号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b/>
                <w:sz w:val="28"/>
                <w:szCs w:val="28"/>
              </w:rPr>
              <w:t xml:space="preserve"> </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地址：</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电话：</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lang w:val="en-US" w:eastAsia="zh-CN"/>
              </w:rPr>
            </w:pPr>
          </w:p>
        </w:tc>
        <w:tc>
          <w:tcPr>
            <w:tcW w:w="4817" w:type="dxa"/>
            <w:tcBorders>
              <w:top w:val="single" w:color="auto" w:sz="4" w:space="0"/>
            </w:tcBorders>
            <w:noWrap w:val="0"/>
            <w:vAlign w:val="top"/>
          </w:tcPr>
          <w:p>
            <w:pPr>
              <w:keepNext w:val="0"/>
              <w:keepLines w:val="0"/>
              <w:suppressLineNumbers w:val="0"/>
              <w:spacing w:before="0" w:beforeAutospacing="0" w:after="0" w:afterAutospacing="0"/>
              <w:ind w:left="0" w:right="0"/>
              <w:rPr>
                <w:rFonts w:hint="eastAsia" w:ascii="仿宋" w:hAnsi="仿宋" w:eastAsia="仿宋" w:cs="仿宋"/>
                <w:color w:val="auto"/>
                <w:sz w:val="24"/>
                <w:szCs w:val="24"/>
                <w:lang w:val="en-US" w:eastAsia="zh-CN"/>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乙方</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盖</w:t>
            </w:r>
            <w:r>
              <w:rPr>
                <w:rFonts w:hint="eastAsia" w:ascii="仿宋" w:hAnsi="仿宋" w:eastAsia="仿宋" w:cs="仿宋"/>
                <w:color w:val="auto"/>
                <w:sz w:val="24"/>
                <w:szCs w:val="24"/>
              </w:rPr>
              <w:t>章）：</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委托代理人：</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开户行：</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帐号：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纳税人识别号：</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地址：</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rPr>
              <w:t>电话：</w:t>
            </w:r>
          </w:p>
          <w:p>
            <w:pPr>
              <w:keepNext w:val="0"/>
              <w:keepLines w:val="0"/>
              <w:suppressLineNumbers w:val="0"/>
              <w:spacing w:before="0" w:beforeAutospacing="0" w:after="0" w:afterAutospacing="0"/>
              <w:ind w:left="0" w:right="0"/>
              <w:rPr>
                <w:rFonts w:hint="eastAsia" w:ascii="仿宋" w:hAnsi="仿宋" w:eastAsia="仿宋" w:cs="仿宋"/>
                <w:color w:val="auto"/>
                <w:sz w:val="24"/>
                <w:szCs w:val="24"/>
                <w:highlight w:val="none"/>
              </w:rPr>
            </w:pPr>
          </w:p>
          <w:p>
            <w:pPr>
              <w:keepNext w:val="0"/>
              <w:keepLines w:val="0"/>
              <w:suppressLineNumbers w:val="0"/>
              <w:spacing w:before="0" w:beforeAutospacing="0" w:after="0" w:afterAutospacing="0"/>
              <w:ind w:left="0" w:right="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签订时间：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tc>
      </w:tr>
    </w:tbl>
    <w:p>
      <w:pPr>
        <w:rPr>
          <w:rFonts w:hint="eastAsia" w:ascii="宋体" w:hAnsi="宋体"/>
          <w:sz w:val="28"/>
          <w:szCs w:val="28"/>
        </w:rPr>
      </w:pPr>
      <w:r>
        <w:rPr>
          <w:rFonts w:hint="eastAsia"/>
          <w:b/>
          <w:sz w:val="28"/>
          <w:szCs w:val="28"/>
        </w:rPr>
        <w:t xml:space="preserve"> </w:t>
      </w:r>
    </w:p>
    <w:p>
      <w:pPr>
        <w:snapToGrid w:val="0"/>
        <w:spacing w:line="240" w:lineRule="atLeast"/>
        <w:rPr>
          <w:rFonts w:hint="eastAsia"/>
          <w:sz w:val="28"/>
          <w:szCs w:val="28"/>
        </w:rPr>
      </w:pPr>
      <w:r>
        <w:rPr>
          <w:rFonts w:hint="eastAsia" w:ascii="宋体" w:hAnsi="宋体" w:cs="宋体"/>
          <w:sz w:val="28"/>
          <w:szCs w:val="28"/>
        </w:rPr>
        <w:t xml:space="preserve"> </w:t>
      </w:r>
    </w:p>
    <w:p>
      <w:pPr>
        <w:rPr>
          <w:rFonts w:hint="eastAsia"/>
        </w:rPr>
      </w:pPr>
    </w:p>
    <w:p>
      <w:pPr>
        <w:rPr>
          <w:rFonts w:hint="eastAsia"/>
        </w:rPr>
      </w:pPr>
    </w:p>
    <w:p>
      <w:pPr>
        <w:wordWrap/>
        <w:spacing w:line="480" w:lineRule="auto"/>
        <w:jc w:val="right"/>
        <w:rPr>
          <w:rFonts w:hint="eastAsia" w:ascii="仿宋" w:hAnsi="仿宋" w:eastAsia="仿宋" w:cs="宋体"/>
          <w:color w:val="000000" w:themeColor="text1"/>
          <w:kern w:val="0"/>
          <w:sz w:val="28"/>
          <w:szCs w:val="28"/>
          <w:highlight w:val="none"/>
          <w:lang w:bidi="ar"/>
          <w14:textFill>
            <w14:solidFill>
              <w14:schemeClr w14:val="tx1"/>
            </w14:solidFill>
          </w14:textFill>
        </w:rPr>
      </w:pPr>
    </w:p>
    <w:sectPr>
      <w:pgSz w:w="11906" w:h="16838"/>
      <w:pgMar w:top="1418" w:right="1418" w:bottom="1418" w:left="1559" w:header="851" w:footer="992" w:gutter="0"/>
      <w:pgNumType w:fmt="decimal"/>
      <w:cols w:space="720" w:num="1"/>
      <w:docGrid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E-F1">
    <w:altName w:val="Malgun Gothic"/>
    <w:panose1 w:val="02060000000000000000"/>
    <w:charset w:val="81"/>
    <w:family w:val="roman"/>
    <w:pitch w:val="default"/>
    <w:sig w:usb0="00000000" w:usb1="00000000" w:usb2="00000033" w:usb3="00000000" w:csb0="00080000" w:csb1="00000000"/>
  </w:font>
  <w:font w:name="EU-F1">
    <w:altName w:val="微软雅黑"/>
    <w:panose1 w:val="03000509000000000000"/>
    <w:charset w:val="86"/>
    <w:family w:val="script"/>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MetaPlusLF">
    <w:altName w:val="Georgia"/>
    <w:panose1 w:val="02000506050000020004"/>
    <w:charset w:val="00"/>
    <w:family w:val="auto"/>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wv44wwwEAAHEDAAAOAAAAAAAAAAEAIAAAAB4BAABkcnMvZTJvRG9jLnhtbFBL&#10;BQYAAAAABgAGAFkBAABTBQAAAAA=&#10;">
              <v:fill on="f" focussize="0,0"/>
              <v:stroke on="f"/>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51</w:t>
                          </w:r>
                          <w:r>
                            <w:rPr>
                              <w:rFonts w:hint="eastAsia" w:ascii="仿宋" w:hAnsi="仿宋" w:eastAsia="仿宋" w:cs="仿宋"/>
                            </w:rPr>
                            <w:fldChar w:fldCharType="end"/>
                          </w:r>
                          <w:r>
                            <w:rPr>
                              <w:rFonts w:hint="eastAsia" w:ascii="仿宋" w:hAnsi="仿宋" w:eastAsia="仿宋" w:cs="仿宋"/>
                            </w:rPr>
                            <w:t xml:space="preserve"> 页</w:t>
                          </w:r>
                        </w:p>
                      </w:txbxContent>
                    </wps:txbx>
                    <wps:bodyPr vert="horz" wrap="none" lIns="0" tIns="0" rIns="0" bIns="0" anchor="t" anchorCtr="0" upright="0">
                      <a:spAutoFit/>
                    </wps:bodyPr>
                  </wps:wsp>
                </a:graphicData>
              </a:graphic>
            </wp:anchor>
          </w:drawing>
        </mc:Choice>
        <mc:Fallback>
          <w:pict>
            <v:shape id="文本框 10"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9HuJRwwEAAHIDAAAOAAAAAAAAAAEAIAAAAB4BAABkcnMvZTJvRG9jLnhtbFBL&#10;BQYAAAAABgAGAFkBAABTBQAAAAA=&#10;">
              <v:fill on="f" focussize="0,0"/>
              <v:stroke on="f"/>
              <v:imagedata o:title=""/>
              <o:lock v:ext="edit" aspectratio="f"/>
              <v:textbox inset="0mm,0mm,0mm,0mm" style="mso-fit-shape-to-text:t;">
                <w:txbxContent>
                  <w:p>
                    <w:pPr>
                      <w:pStyle w:val="19"/>
                      <w:rPr>
                        <w:rFonts w:hint="eastAsia" w:ascii="仿宋" w:hAnsi="仿宋" w:eastAsia="仿宋" w:cs="仿宋"/>
                      </w:rPr>
                    </w:pPr>
                    <w:r>
                      <w:rPr>
                        <w:rFonts w:hint="eastAsia" w:ascii="仿宋" w:hAnsi="仿宋" w:eastAsia="仿宋" w:cs="仿宋"/>
                      </w:rPr>
                      <w:t xml:space="preserve">第 </w:t>
                    </w:r>
                    <w:r>
                      <w:rPr>
                        <w:rFonts w:hint="eastAsia" w:ascii="仿宋" w:hAnsi="仿宋" w:eastAsia="仿宋" w:cs="仿宋"/>
                      </w:rPr>
                      <w:fldChar w:fldCharType="begin"/>
                    </w:r>
                    <w:r>
                      <w:rPr>
                        <w:rFonts w:hint="eastAsia" w:ascii="仿宋" w:hAnsi="仿宋" w:eastAsia="仿宋" w:cs="仿宋"/>
                      </w:rPr>
                      <w:instrText xml:space="preserve"> PAGE  \* MERGEFORMAT </w:instrText>
                    </w:r>
                    <w:r>
                      <w:rPr>
                        <w:rFonts w:hint="eastAsia" w:ascii="仿宋" w:hAnsi="仿宋" w:eastAsia="仿宋" w:cs="仿宋"/>
                      </w:rPr>
                      <w:fldChar w:fldCharType="separate"/>
                    </w:r>
                    <w:r>
                      <w:rPr>
                        <w:rFonts w:hint="eastAsia" w:ascii="仿宋" w:hAnsi="仿宋" w:eastAsia="仿宋" w:cs="仿宋"/>
                      </w:rPr>
                      <w:t>51</w:t>
                    </w:r>
                    <w:r>
                      <w:rPr>
                        <w:rFonts w:hint="eastAsia" w:ascii="仿宋" w:hAnsi="仿宋" w:eastAsia="仿宋" w:cs="仿宋"/>
                      </w:rPr>
                      <w:fldChar w:fldCharType="end"/>
                    </w:r>
                    <w:r>
                      <w:rPr>
                        <w:rFonts w:hint="eastAsia" w:ascii="仿宋" w:hAnsi="仿宋" w:eastAsia="仿宋" w:cs="仿宋"/>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9"/>
                          </w:pPr>
                          <w:r>
                            <w:t xml:space="preserve">第 </w:t>
                          </w:r>
                          <w:r>
                            <w:fldChar w:fldCharType="begin"/>
                          </w:r>
                          <w:r>
                            <w:instrText xml:space="preserve"> PAGE  \* MERGEFORMAT </w:instrText>
                          </w:r>
                          <w:r>
                            <w:fldChar w:fldCharType="separate"/>
                          </w:r>
                          <w:r>
                            <w:t>79</w:t>
                          </w:r>
                          <w:r>
                            <w:fldChar w:fldCharType="end"/>
                          </w:r>
                          <w:r>
                            <w:t xml:space="preserve"> 页</w:t>
                          </w:r>
                        </w:p>
                      </w:txbxContent>
                    </wps:txbx>
                    <wps:bodyPr vert="horz" wrap="none" lIns="0" tIns="0" rIns="0" bIns="0" anchor="t" anchorCtr="0" upright="0">
                      <a:spAutoFit/>
                    </wps:bodyPr>
                  </wps:wsp>
                </a:graphicData>
              </a:graphic>
            </wp:anchor>
          </w:drawing>
        </mc:Choice>
        <mc:Fallback>
          <w:pict>
            <v:shape id="文本框 11"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C6QThwwwEAAHIDAAAOAAAAAAAAAAEAIAAAAB4BAABkcnMvZTJvRG9jLnhtbFBL&#10;BQYAAAAABgAGAFkBAABTBQAAAAA=&#10;">
              <v:fill on="f" focussize="0,0"/>
              <v:stroke on="f"/>
              <v:imagedata o:title=""/>
              <o:lock v:ext="edit" aspectratio="f"/>
              <v:textbox inset="0mm,0mm,0mm,0mm" style="mso-fit-shape-to-text:t;">
                <w:txbxContent>
                  <w:p>
                    <w:pPr>
                      <w:pStyle w:val="19"/>
                    </w:pPr>
                    <w:r>
                      <w:t xml:space="preserve">第 </w:t>
                    </w:r>
                    <w:r>
                      <w:fldChar w:fldCharType="begin"/>
                    </w:r>
                    <w:r>
                      <w:instrText xml:space="preserve"> PAGE  \* MERGEFORMAT </w:instrText>
                    </w:r>
                    <w:r>
                      <w:fldChar w:fldCharType="separate"/>
                    </w:r>
                    <w:r>
                      <w:t>79</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ascii="仿宋" w:hAnsi="仿宋" w:eastAsia="仿宋" w:cs="仿宋"/>
        <w:sz w:val="18"/>
        <w:szCs w:val="18"/>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ascii="仿宋" w:hAnsi="仿宋" w:eastAsia="仿宋" w:cs="仿宋"/>
        <w:sz w:val="18"/>
        <w:szCs w:val="18"/>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hint="eastAsia" w:ascii="仿宋" w:hAnsi="仿宋" w:eastAsia="仿宋" w:cs="仿宋"/>
        <w:sz w:val="18"/>
        <w:szCs w:val="18"/>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1B96FB0"/>
    <w:multiLevelType w:val="singleLevel"/>
    <w:tmpl w:val="C1B96FB0"/>
    <w:lvl w:ilvl="0" w:tentative="0">
      <w:start w:val="1"/>
      <w:numFmt w:val="decimal"/>
      <w:lvlText w:val="%1."/>
      <w:lvlJc w:val="left"/>
      <w:pPr>
        <w:ind w:left="425" w:hanging="425"/>
      </w:pPr>
      <w:rPr>
        <w:rFonts w:hint="default"/>
      </w:rPr>
    </w:lvl>
  </w:abstractNum>
  <w:abstractNum w:abstractNumId="1">
    <w:nsid w:val="0000001E"/>
    <w:multiLevelType w:val="singleLevel"/>
    <w:tmpl w:val="0000001E"/>
    <w:lvl w:ilvl="0" w:tentative="0">
      <w:start w:val="1"/>
      <w:numFmt w:val="bullet"/>
      <w:pStyle w:val="87"/>
      <w:lvlText w:val="–"/>
      <w:lvlJc w:val="left"/>
      <w:pPr>
        <w:tabs>
          <w:tab w:val="left" w:pos="360"/>
        </w:tabs>
        <w:ind w:left="113" w:hanging="113"/>
      </w:pPr>
      <w:rPr>
        <w:rFonts w:hint="default" w:ascii="MetaPlusLF" w:hAnsi="MetaPlusLF"/>
        <w:b w:val="0"/>
        <w:i w:val="0"/>
        <w:color w:val="auto"/>
        <w:spacing w:val="0"/>
        <w:w w:val="100"/>
        <w:position w:val="0"/>
        <w:sz w:val="15"/>
        <w:u w:val="none"/>
      </w:rPr>
    </w:lvl>
  </w:abstractNum>
  <w:abstractNum w:abstractNumId="2">
    <w:nsid w:val="5C372331"/>
    <w:multiLevelType w:val="singleLevel"/>
    <w:tmpl w:val="5C372331"/>
    <w:lvl w:ilvl="0" w:tentative="0">
      <w:start w:val="1"/>
      <w:numFmt w:val="chineseCounting"/>
      <w:suff w:val="space"/>
      <w:lvlText w:val="第%1部分"/>
      <w:lvlJc w:val="left"/>
      <w:rPr>
        <w:rFonts w:hint="eastAsia"/>
      </w:rPr>
    </w:lvl>
  </w:abstractNum>
  <w:abstractNum w:abstractNumId="3">
    <w:nsid w:val="6651D328"/>
    <w:multiLevelType w:val="singleLevel"/>
    <w:tmpl w:val="6651D328"/>
    <w:lvl w:ilvl="0" w:tentative="0">
      <w:start w:val="1"/>
      <w:numFmt w:val="decimal"/>
      <w:lvlText w:val="%1."/>
      <w:lvlJc w:val="left"/>
      <w:pPr>
        <w:tabs>
          <w:tab w:val="left" w:pos="312"/>
        </w:tabs>
      </w:pPr>
    </w:lvl>
  </w:abstractNum>
  <w:abstractNum w:abstractNumId="4">
    <w:nsid w:val="6ADCC3E1"/>
    <w:multiLevelType w:val="singleLevel"/>
    <w:tmpl w:val="6ADCC3E1"/>
    <w:lvl w:ilvl="0" w:tentative="0">
      <w:start w:val="5"/>
      <w:numFmt w:val="chineseCounting"/>
      <w:suff w:val="nothing"/>
      <w:lvlText w:val="%1、"/>
      <w:lvlJc w:val="left"/>
      <w:rPr>
        <w:rFonts w:hint="eastAsia"/>
      </w:rPr>
    </w:lvl>
  </w:abstractNum>
  <w:abstractNum w:abstractNumId="5">
    <w:nsid w:val="7CC9FF22"/>
    <w:multiLevelType w:val="singleLevel"/>
    <w:tmpl w:val="7CC9FF22"/>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260"/>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hYzFiN2RmMmRmNzJjM2E3YWQ1NjQ0NzI2M2FhZmMifQ=="/>
    <w:docVar w:name="KSO_WPS_MARK_KEY" w:val="90fea1ef-b7f0-4aa0-bdb8-4b4911de162a"/>
  </w:docVars>
  <w:rsids>
    <w:rsidRoot w:val="00172A27"/>
    <w:rsid w:val="00020089"/>
    <w:rsid w:val="000209F1"/>
    <w:rsid w:val="000338C8"/>
    <w:rsid w:val="000352F9"/>
    <w:rsid w:val="00037934"/>
    <w:rsid w:val="000456AD"/>
    <w:rsid w:val="00046AA2"/>
    <w:rsid w:val="000470B5"/>
    <w:rsid w:val="00050C3A"/>
    <w:rsid w:val="00054936"/>
    <w:rsid w:val="0006600F"/>
    <w:rsid w:val="00066FA5"/>
    <w:rsid w:val="000829C4"/>
    <w:rsid w:val="000A0258"/>
    <w:rsid w:val="000A23FE"/>
    <w:rsid w:val="000A333D"/>
    <w:rsid w:val="000B2875"/>
    <w:rsid w:val="000D7EC5"/>
    <w:rsid w:val="000E480A"/>
    <w:rsid w:val="0011047E"/>
    <w:rsid w:val="00113F68"/>
    <w:rsid w:val="001263C7"/>
    <w:rsid w:val="001315D9"/>
    <w:rsid w:val="00141CB7"/>
    <w:rsid w:val="00146C2B"/>
    <w:rsid w:val="001721AA"/>
    <w:rsid w:val="00172A6D"/>
    <w:rsid w:val="001737F0"/>
    <w:rsid w:val="00187654"/>
    <w:rsid w:val="00192CD6"/>
    <w:rsid w:val="001948A9"/>
    <w:rsid w:val="00197E9E"/>
    <w:rsid w:val="001B0B75"/>
    <w:rsid w:val="001B365A"/>
    <w:rsid w:val="001C13E5"/>
    <w:rsid w:val="001C2B43"/>
    <w:rsid w:val="001C43DD"/>
    <w:rsid w:val="001C67DA"/>
    <w:rsid w:val="001D5FB4"/>
    <w:rsid w:val="00206AB5"/>
    <w:rsid w:val="002138AB"/>
    <w:rsid w:val="00221B10"/>
    <w:rsid w:val="0022487D"/>
    <w:rsid w:val="00244538"/>
    <w:rsid w:val="00264F06"/>
    <w:rsid w:val="00282368"/>
    <w:rsid w:val="002B1B08"/>
    <w:rsid w:val="002C3DD1"/>
    <w:rsid w:val="002C48C6"/>
    <w:rsid w:val="002C6804"/>
    <w:rsid w:val="002C6EA4"/>
    <w:rsid w:val="002D04B2"/>
    <w:rsid w:val="002D272F"/>
    <w:rsid w:val="002D48AE"/>
    <w:rsid w:val="002E20C4"/>
    <w:rsid w:val="002F3B4D"/>
    <w:rsid w:val="0030059C"/>
    <w:rsid w:val="0030124F"/>
    <w:rsid w:val="003024EA"/>
    <w:rsid w:val="00302698"/>
    <w:rsid w:val="00307E7C"/>
    <w:rsid w:val="0031122C"/>
    <w:rsid w:val="0033027C"/>
    <w:rsid w:val="0033474C"/>
    <w:rsid w:val="0033586D"/>
    <w:rsid w:val="00336C9D"/>
    <w:rsid w:val="00343076"/>
    <w:rsid w:val="00357C41"/>
    <w:rsid w:val="00361487"/>
    <w:rsid w:val="003749EF"/>
    <w:rsid w:val="00381CB9"/>
    <w:rsid w:val="00382DEE"/>
    <w:rsid w:val="00392B1A"/>
    <w:rsid w:val="003A7318"/>
    <w:rsid w:val="003A7E0F"/>
    <w:rsid w:val="003C2A45"/>
    <w:rsid w:val="003D154C"/>
    <w:rsid w:val="003D4000"/>
    <w:rsid w:val="003D4CAC"/>
    <w:rsid w:val="003D5436"/>
    <w:rsid w:val="003E0DD8"/>
    <w:rsid w:val="003E442D"/>
    <w:rsid w:val="003E59A8"/>
    <w:rsid w:val="003E689A"/>
    <w:rsid w:val="003F5634"/>
    <w:rsid w:val="003F5646"/>
    <w:rsid w:val="003F579D"/>
    <w:rsid w:val="0041019B"/>
    <w:rsid w:val="00411CA3"/>
    <w:rsid w:val="00417E04"/>
    <w:rsid w:val="00450810"/>
    <w:rsid w:val="00464BC5"/>
    <w:rsid w:val="004A59D2"/>
    <w:rsid w:val="004B0D73"/>
    <w:rsid w:val="004B7B1F"/>
    <w:rsid w:val="004C41E0"/>
    <w:rsid w:val="004E053B"/>
    <w:rsid w:val="004E7524"/>
    <w:rsid w:val="00500688"/>
    <w:rsid w:val="00503219"/>
    <w:rsid w:val="00511D10"/>
    <w:rsid w:val="005203DD"/>
    <w:rsid w:val="00531FA2"/>
    <w:rsid w:val="00541459"/>
    <w:rsid w:val="0055675D"/>
    <w:rsid w:val="005714C6"/>
    <w:rsid w:val="0057655C"/>
    <w:rsid w:val="00596145"/>
    <w:rsid w:val="005A0EFC"/>
    <w:rsid w:val="005B51D1"/>
    <w:rsid w:val="005B7041"/>
    <w:rsid w:val="005C1797"/>
    <w:rsid w:val="005D3C9D"/>
    <w:rsid w:val="00603F3A"/>
    <w:rsid w:val="00607125"/>
    <w:rsid w:val="006144BB"/>
    <w:rsid w:val="00620C22"/>
    <w:rsid w:val="00622134"/>
    <w:rsid w:val="00627D55"/>
    <w:rsid w:val="00627E6B"/>
    <w:rsid w:val="006352B0"/>
    <w:rsid w:val="00636B57"/>
    <w:rsid w:val="0063724D"/>
    <w:rsid w:val="00641DBB"/>
    <w:rsid w:val="006431E3"/>
    <w:rsid w:val="00647F85"/>
    <w:rsid w:val="00655E43"/>
    <w:rsid w:val="00657C86"/>
    <w:rsid w:val="00680B02"/>
    <w:rsid w:val="00681254"/>
    <w:rsid w:val="00690F3D"/>
    <w:rsid w:val="0069358B"/>
    <w:rsid w:val="0069521C"/>
    <w:rsid w:val="006A7D83"/>
    <w:rsid w:val="006C17AA"/>
    <w:rsid w:val="006C205E"/>
    <w:rsid w:val="006C5E91"/>
    <w:rsid w:val="006D0EA5"/>
    <w:rsid w:val="006D3CB0"/>
    <w:rsid w:val="006F6BE0"/>
    <w:rsid w:val="00713F38"/>
    <w:rsid w:val="0071536C"/>
    <w:rsid w:val="00716BDF"/>
    <w:rsid w:val="007250FA"/>
    <w:rsid w:val="007336A0"/>
    <w:rsid w:val="007353FA"/>
    <w:rsid w:val="00735EA2"/>
    <w:rsid w:val="0076198E"/>
    <w:rsid w:val="00772A2C"/>
    <w:rsid w:val="007748AF"/>
    <w:rsid w:val="00776694"/>
    <w:rsid w:val="00790B7E"/>
    <w:rsid w:val="00797E49"/>
    <w:rsid w:val="007C0F2D"/>
    <w:rsid w:val="007D7D65"/>
    <w:rsid w:val="007E073A"/>
    <w:rsid w:val="007F0C71"/>
    <w:rsid w:val="007F1F4B"/>
    <w:rsid w:val="0080261E"/>
    <w:rsid w:val="00805FE3"/>
    <w:rsid w:val="00820574"/>
    <w:rsid w:val="00827324"/>
    <w:rsid w:val="0084103C"/>
    <w:rsid w:val="00850D94"/>
    <w:rsid w:val="00853865"/>
    <w:rsid w:val="00861DAB"/>
    <w:rsid w:val="0087119D"/>
    <w:rsid w:val="008750B7"/>
    <w:rsid w:val="0087749B"/>
    <w:rsid w:val="00885D6A"/>
    <w:rsid w:val="008912FD"/>
    <w:rsid w:val="008B73C2"/>
    <w:rsid w:val="008C5B7E"/>
    <w:rsid w:val="008D27D8"/>
    <w:rsid w:val="008F5D96"/>
    <w:rsid w:val="00902F3A"/>
    <w:rsid w:val="00902F58"/>
    <w:rsid w:val="0090527A"/>
    <w:rsid w:val="009237C3"/>
    <w:rsid w:val="00933238"/>
    <w:rsid w:val="009462BC"/>
    <w:rsid w:val="009519DD"/>
    <w:rsid w:val="00953D9C"/>
    <w:rsid w:val="009714EF"/>
    <w:rsid w:val="00972D64"/>
    <w:rsid w:val="00973FB8"/>
    <w:rsid w:val="00992C3E"/>
    <w:rsid w:val="009968BB"/>
    <w:rsid w:val="009A2220"/>
    <w:rsid w:val="009A5C2D"/>
    <w:rsid w:val="009A7461"/>
    <w:rsid w:val="009B1E5E"/>
    <w:rsid w:val="009C7D2B"/>
    <w:rsid w:val="009E0666"/>
    <w:rsid w:val="009E1AEE"/>
    <w:rsid w:val="009E470F"/>
    <w:rsid w:val="009E574A"/>
    <w:rsid w:val="009F1641"/>
    <w:rsid w:val="009F3EA5"/>
    <w:rsid w:val="00A14B72"/>
    <w:rsid w:val="00A17129"/>
    <w:rsid w:val="00A36F67"/>
    <w:rsid w:val="00A44738"/>
    <w:rsid w:val="00A45C82"/>
    <w:rsid w:val="00A66561"/>
    <w:rsid w:val="00A70EBE"/>
    <w:rsid w:val="00A73524"/>
    <w:rsid w:val="00A94384"/>
    <w:rsid w:val="00A952E6"/>
    <w:rsid w:val="00AB4F04"/>
    <w:rsid w:val="00AC12DC"/>
    <w:rsid w:val="00AD10FE"/>
    <w:rsid w:val="00AE7B9E"/>
    <w:rsid w:val="00AF1155"/>
    <w:rsid w:val="00B035A4"/>
    <w:rsid w:val="00B07A42"/>
    <w:rsid w:val="00B2006F"/>
    <w:rsid w:val="00B54B17"/>
    <w:rsid w:val="00B77878"/>
    <w:rsid w:val="00B93F2F"/>
    <w:rsid w:val="00BA4886"/>
    <w:rsid w:val="00BB22C9"/>
    <w:rsid w:val="00BB2AAA"/>
    <w:rsid w:val="00BB7608"/>
    <w:rsid w:val="00BC03BF"/>
    <w:rsid w:val="00BC326B"/>
    <w:rsid w:val="00BC6847"/>
    <w:rsid w:val="00BC757B"/>
    <w:rsid w:val="00BD1C28"/>
    <w:rsid w:val="00BD23B0"/>
    <w:rsid w:val="00BE61BD"/>
    <w:rsid w:val="00BE6EBF"/>
    <w:rsid w:val="00BF1217"/>
    <w:rsid w:val="00BF1CAA"/>
    <w:rsid w:val="00BF556A"/>
    <w:rsid w:val="00BF5E7B"/>
    <w:rsid w:val="00C05C8C"/>
    <w:rsid w:val="00C136C9"/>
    <w:rsid w:val="00C144B0"/>
    <w:rsid w:val="00C14A4E"/>
    <w:rsid w:val="00C26399"/>
    <w:rsid w:val="00C52216"/>
    <w:rsid w:val="00C52CA0"/>
    <w:rsid w:val="00C568B9"/>
    <w:rsid w:val="00C574B5"/>
    <w:rsid w:val="00C60147"/>
    <w:rsid w:val="00C70510"/>
    <w:rsid w:val="00C76D5F"/>
    <w:rsid w:val="00C85BF3"/>
    <w:rsid w:val="00CA082C"/>
    <w:rsid w:val="00CC1728"/>
    <w:rsid w:val="00CD159D"/>
    <w:rsid w:val="00CD7440"/>
    <w:rsid w:val="00CE218C"/>
    <w:rsid w:val="00CF4A49"/>
    <w:rsid w:val="00D02034"/>
    <w:rsid w:val="00D05B74"/>
    <w:rsid w:val="00D07E32"/>
    <w:rsid w:val="00D113AF"/>
    <w:rsid w:val="00D15CF2"/>
    <w:rsid w:val="00D170A3"/>
    <w:rsid w:val="00D20C9D"/>
    <w:rsid w:val="00D237A0"/>
    <w:rsid w:val="00D27FB6"/>
    <w:rsid w:val="00D33434"/>
    <w:rsid w:val="00D3708C"/>
    <w:rsid w:val="00D42B17"/>
    <w:rsid w:val="00D4413D"/>
    <w:rsid w:val="00D53B86"/>
    <w:rsid w:val="00D60028"/>
    <w:rsid w:val="00D7612D"/>
    <w:rsid w:val="00DB2364"/>
    <w:rsid w:val="00DB32FC"/>
    <w:rsid w:val="00DD4132"/>
    <w:rsid w:val="00DE67DE"/>
    <w:rsid w:val="00DF793B"/>
    <w:rsid w:val="00E06CAC"/>
    <w:rsid w:val="00E1356D"/>
    <w:rsid w:val="00E21D9F"/>
    <w:rsid w:val="00E26287"/>
    <w:rsid w:val="00E401FB"/>
    <w:rsid w:val="00E407DB"/>
    <w:rsid w:val="00E44B5F"/>
    <w:rsid w:val="00E47AAB"/>
    <w:rsid w:val="00E51E27"/>
    <w:rsid w:val="00E63469"/>
    <w:rsid w:val="00E6781E"/>
    <w:rsid w:val="00E76609"/>
    <w:rsid w:val="00E8092C"/>
    <w:rsid w:val="00E84B81"/>
    <w:rsid w:val="00E95EEC"/>
    <w:rsid w:val="00EA06C4"/>
    <w:rsid w:val="00EA31AD"/>
    <w:rsid w:val="00EA4775"/>
    <w:rsid w:val="00EB5A55"/>
    <w:rsid w:val="00EC0BB3"/>
    <w:rsid w:val="00EC3757"/>
    <w:rsid w:val="00EE5438"/>
    <w:rsid w:val="00EE7FEE"/>
    <w:rsid w:val="00EF5838"/>
    <w:rsid w:val="00F06AB1"/>
    <w:rsid w:val="00F2553A"/>
    <w:rsid w:val="00F35036"/>
    <w:rsid w:val="00F35730"/>
    <w:rsid w:val="00F45AE7"/>
    <w:rsid w:val="00F4631E"/>
    <w:rsid w:val="00F51265"/>
    <w:rsid w:val="00F610A9"/>
    <w:rsid w:val="00F65D99"/>
    <w:rsid w:val="00F74804"/>
    <w:rsid w:val="00FA2A6D"/>
    <w:rsid w:val="00FA2CCF"/>
    <w:rsid w:val="00FA7076"/>
    <w:rsid w:val="00FA7838"/>
    <w:rsid w:val="00FB1507"/>
    <w:rsid w:val="00FB3713"/>
    <w:rsid w:val="00FB56F6"/>
    <w:rsid w:val="00FE12F4"/>
    <w:rsid w:val="00FE3E82"/>
    <w:rsid w:val="00FF0B55"/>
    <w:rsid w:val="00FF1EF2"/>
    <w:rsid w:val="00FF5087"/>
    <w:rsid w:val="0100390C"/>
    <w:rsid w:val="010C7A13"/>
    <w:rsid w:val="01157EBC"/>
    <w:rsid w:val="011919BD"/>
    <w:rsid w:val="01192C1F"/>
    <w:rsid w:val="012010B0"/>
    <w:rsid w:val="01233A9E"/>
    <w:rsid w:val="0123564D"/>
    <w:rsid w:val="01286462"/>
    <w:rsid w:val="01290E94"/>
    <w:rsid w:val="012E2D45"/>
    <w:rsid w:val="01321209"/>
    <w:rsid w:val="0132243C"/>
    <w:rsid w:val="0136732D"/>
    <w:rsid w:val="014F12F6"/>
    <w:rsid w:val="01511CC1"/>
    <w:rsid w:val="01571151"/>
    <w:rsid w:val="01585CD2"/>
    <w:rsid w:val="016C71F3"/>
    <w:rsid w:val="016F0A91"/>
    <w:rsid w:val="01705368"/>
    <w:rsid w:val="017B7436"/>
    <w:rsid w:val="017D31AE"/>
    <w:rsid w:val="01863A31"/>
    <w:rsid w:val="018A7551"/>
    <w:rsid w:val="018E5F56"/>
    <w:rsid w:val="01A10387"/>
    <w:rsid w:val="01AA01F1"/>
    <w:rsid w:val="01B3406A"/>
    <w:rsid w:val="01BA71B2"/>
    <w:rsid w:val="01C14C7B"/>
    <w:rsid w:val="01C86C7F"/>
    <w:rsid w:val="01C9492A"/>
    <w:rsid w:val="01D32DCE"/>
    <w:rsid w:val="01D55556"/>
    <w:rsid w:val="01DA3ED2"/>
    <w:rsid w:val="01DC5F0A"/>
    <w:rsid w:val="01DE4BA3"/>
    <w:rsid w:val="01E46073"/>
    <w:rsid w:val="01E61688"/>
    <w:rsid w:val="01E66FA5"/>
    <w:rsid w:val="01ED3052"/>
    <w:rsid w:val="01F9035B"/>
    <w:rsid w:val="01FA1B8E"/>
    <w:rsid w:val="0208091F"/>
    <w:rsid w:val="020B6A0C"/>
    <w:rsid w:val="020E6054"/>
    <w:rsid w:val="021569C6"/>
    <w:rsid w:val="02160CC2"/>
    <w:rsid w:val="021F4265"/>
    <w:rsid w:val="02225B04"/>
    <w:rsid w:val="022C061A"/>
    <w:rsid w:val="022D7599"/>
    <w:rsid w:val="023B769A"/>
    <w:rsid w:val="023C4E17"/>
    <w:rsid w:val="0248003F"/>
    <w:rsid w:val="024C3B5B"/>
    <w:rsid w:val="02507E01"/>
    <w:rsid w:val="025B133E"/>
    <w:rsid w:val="026037C8"/>
    <w:rsid w:val="0268276F"/>
    <w:rsid w:val="027B02A7"/>
    <w:rsid w:val="027C1BCD"/>
    <w:rsid w:val="0283457D"/>
    <w:rsid w:val="028440C8"/>
    <w:rsid w:val="028A0273"/>
    <w:rsid w:val="028A71FF"/>
    <w:rsid w:val="028B498E"/>
    <w:rsid w:val="029A2727"/>
    <w:rsid w:val="029C13FA"/>
    <w:rsid w:val="029C4202"/>
    <w:rsid w:val="029F3414"/>
    <w:rsid w:val="02A320F6"/>
    <w:rsid w:val="02A46D06"/>
    <w:rsid w:val="02B04A65"/>
    <w:rsid w:val="02B20047"/>
    <w:rsid w:val="02B62FFF"/>
    <w:rsid w:val="02B85EEF"/>
    <w:rsid w:val="02C11AC6"/>
    <w:rsid w:val="02C74C71"/>
    <w:rsid w:val="02D23086"/>
    <w:rsid w:val="02D432A2"/>
    <w:rsid w:val="02D634CE"/>
    <w:rsid w:val="02DB7CB9"/>
    <w:rsid w:val="02DC79A6"/>
    <w:rsid w:val="02EE3C38"/>
    <w:rsid w:val="02FE3545"/>
    <w:rsid w:val="030126BD"/>
    <w:rsid w:val="03015DCD"/>
    <w:rsid w:val="03063833"/>
    <w:rsid w:val="030A5F4B"/>
    <w:rsid w:val="0313544C"/>
    <w:rsid w:val="031F2398"/>
    <w:rsid w:val="032A2981"/>
    <w:rsid w:val="032B1522"/>
    <w:rsid w:val="032C1461"/>
    <w:rsid w:val="03331A07"/>
    <w:rsid w:val="03335EF3"/>
    <w:rsid w:val="033E696D"/>
    <w:rsid w:val="034321D6"/>
    <w:rsid w:val="03457CFC"/>
    <w:rsid w:val="035220D2"/>
    <w:rsid w:val="035A307B"/>
    <w:rsid w:val="03600300"/>
    <w:rsid w:val="0377504A"/>
    <w:rsid w:val="037A3A8F"/>
    <w:rsid w:val="037E320E"/>
    <w:rsid w:val="03811477"/>
    <w:rsid w:val="038E5044"/>
    <w:rsid w:val="038F541B"/>
    <w:rsid w:val="03915C5A"/>
    <w:rsid w:val="03946078"/>
    <w:rsid w:val="039477C2"/>
    <w:rsid w:val="039713EE"/>
    <w:rsid w:val="03971A5E"/>
    <w:rsid w:val="03A1642A"/>
    <w:rsid w:val="03A26EFC"/>
    <w:rsid w:val="03A32C74"/>
    <w:rsid w:val="03BB1AFF"/>
    <w:rsid w:val="03BF45C2"/>
    <w:rsid w:val="03C12CB5"/>
    <w:rsid w:val="03C16A9D"/>
    <w:rsid w:val="03CB16C5"/>
    <w:rsid w:val="03D14228"/>
    <w:rsid w:val="03D30C63"/>
    <w:rsid w:val="03D60954"/>
    <w:rsid w:val="03F16AD9"/>
    <w:rsid w:val="03F41D45"/>
    <w:rsid w:val="03F66B7B"/>
    <w:rsid w:val="03F8083E"/>
    <w:rsid w:val="03F86B1C"/>
    <w:rsid w:val="04033363"/>
    <w:rsid w:val="040D1D56"/>
    <w:rsid w:val="040D7C57"/>
    <w:rsid w:val="04131BA8"/>
    <w:rsid w:val="041A1188"/>
    <w:rsid w:val="041D1575"/>
    <w:rsid w:val="04211357"/>
    <w:rsid w:val="04221DEB"/>
    <w:rsid w:val="04235DC7"/>
    <w:rsid w:val="04291F29"/>
    <w:rsid w:val="043C375A"/>
    <w:rsid w:val="04403D67"/>
    <w:rsid w:val="044652E3"/>
    <w:rsid w:val="044C330C"/>
    <w:rsid w:val="045B7883"/>
    <w:rsid w:val="046E35AD"/>
    <w:rsid w:val="04706FFA"/>
    <w:rsid w:val="047B10E3"/>
    <w:rsid w:val="047F2D99"/>
    <w:rsid w:val="047F469D"/>
    <w:rsid w:val="04925D15"/>
    <w:rsid w:val="04A31E6A"/>
    <w:rsid w:val="04A44EF6"/>
    <w:rsid w:val="04A750BF"/>
    <w:rsid w:val="04AB3559"/>
    <w:rsid w:val="04C26507"/>
    <w:rsid w:val="04C44C50"/>
    <w:rsid w:val="04C95E31"/>
    <w:rsid w:val="04D5288F"/>
    <w:rsid w:val="04DB24D9"/>
    <w:rsid w:val="04DC4602"/>
    <w:rsid w:val="04DD5D12"/>
    <w:rsid w:val="04E561A9"/>
    <w:rsid w:val="04EF43C3"/>
    <w:rsid w:val="04EF7A08"/>
    <w:rsid w:val="050339CA"/>
    <w:rsid w:val="050B159D"/>
    <w:rsid w:val="052102F4"/>
    <w:rsid w:val="05312014"/>
    <w:rsid w:val="0538160A"/>
    <w:rsid w:val="053C67A7"/>
    <w:rsid w:val="0541343C"/>
    <w:rsid w:val="0546450A"/>
    <w:rsid w:val="054840E4"/>
    <w:rsid w:val="05646C99"/>
    <w:rsid w:val="056B67FD"/>
    <w:rsid w:val="056E1BF9"/>
    <w:rsid w:val="05715B8A"/>
    <w:rsid w:val="057228FE"/>
    <w:rsid w:val="05740424"/>
    <w:rsid w:val="05792A52"/>
    <w:rsid w:val="05810D93"/>
    <w:rsid w:val="05860158"/>
    <w:rsid w:val="05942874"/>
    <w:rsid w:val="05AB3110"/>
    <w:rsid w:val="05B2236E"/>
    <w:rsid w:val="05B5286E"/>
    <w:rsid w:val="05BF0D32"/>
    <w:rsid w:val="05C07589"/>
    <w:rsid w:val="05C70E9C"/>
    <w:rsid w:val="05C96BA3"/>
    <w:rsid w:val="05D16B3B"/>
    <w:rsid w:val="05E76E48"/>
    <w:rsid w:val="05E82BC0"/>
    <w:rsid w:val="05ED3E75"/>
    <w:rsid w:val="05F11788"/>
    <w:rsid w:val="05F15418"/>
    <w:rsid w:val="05F814A1"/>
    <w:rsid w:val="05FB6D97"/>
    <w:rsid w:val="06000624"/>
    <w:rsid w:val="0600615C"/>
    <w:rsid w:val="06085AFF"/>
    <w:rsid w:val="06177074"/>
    <w:rsid w:val="061A7D67"/>
    <w:rsid w:val="061C62B3"/>
    <w:rsid w:val="061C6BFF"/>
    <w:rsid w:val="063351E1"/>
    <w:rsid w:val="063800E0"/>
    <w:rsid w:val="06426774"/>
    <w:rsid w:val="064424ED"/>
    <w:rsid w:val="064E3262"/>
    <w:rsid w:val="06550995"/>
    <w:rsid w:val="065C7563"/>
    <w:rsid w:val="065E10CD"/>
    <w:rsid w:val="06697DBB"/>
    <w:rsid w:val="066B5B7F"/>
    <w:rsid w:val="06722FEB"/>
    <w:rsid w:val="067D0071"/>
    <w:rsid w:val="06827F5A"/>
    <w:rsid w:val="068943A3"/>
    <w:rsid w:val="068C2144"/>
    <w:rsid w:val="068F10B5"/>
    <w:rsid w:val="06944187"/>
    <w:rsid w:val="0696510E"/>
    <w:rsid w:val="06965E6A"/>
    <w:rsid w:val="069B44B3"/>
    <w:rsid w:val="06A0349B"/>
    <w:rsid w:val="06AE1335"/>
    <w:rsid w:val="06B01930"/>
    <w:rsid w:val="06B129B5"/>
    <w:rsid w:val="06B807E5"/>
    <w:rsid w:val="06C23411"/>
    <w:rsid w:val="06C673A5"/>
    <w:rsid w:val="06C72D33"/>
    <w:rsid w:val="06CE0008"/>
    <w:rsid w:val="06CE1DB6"/>
    <w:rsid w:val="06D53145"/>
    <w:rsid w:val="06E11AE9"/>
    <w:rsid w:val="06E55C44"/>
    <w:rsid w:val="06E87CCC"/>
    <w:rsid w:val="06F46C07"/>
    <w:rsid w:val="06FC325C"/>
    <w:rsid w:val="071C716A"/>
    <w:rsid w:val="072408B5"/>
    <w:rsid w:val="07281A76"/>
    <w:rsid w:val="07284602"/>
    <w:rsid w:val="072D4D2F"/>
    <w:rsid w:val="073C7668"/>
    <w:rsid w:val="073D0CEA"/>
    <w:rsid w:val="073F24CB"/>
    <w:rsid w:val="07401BA2"/>
    <w:rsid w:val="07452017"/>
    <w:rsid w:val="074763BA"/>
    <w:rsid w:val="074B3407"/>
    <w:rsid w:val="075315D7"/>
    <w:rsid w:val="075A30D5"/>
    <w:rsid w:val="075A7AEE"/>
    <w:rsid w:val="07652E75"/>
    <w:rsid w:val="076850AF"/>
    <w:rsid w:val="076E39E8"/>
    <w:rsid w:val="07794418"/>
    <w:rsid w:val="077961C6"/>
    <w:rsid w:val="077F59FE"/>
    <w:rsid w:val="0789075F"/>
    <w:rsid w:val="078C6D59"/>
    <w:rsid w:val="079B438E"/>
    <w:rsid w:val="079F3828"/>
    <w:rsid w:val="07B62F76"/>
    <w:rsid w:val="07CD15E5"/>
    <w:rsid w:val="07CD206E"/>
    <w:rsid w:val="07EB55B6"/>
    <w:rsid w:val="07F6624D"/>
    <w:rsid w:val="07FB4797"/>
    <w:rsid w:val="07FF34EF"/>
    <w:rsid w:val="08005312"/>
    <w:rsid w:val="08193505"/>
    <w:rsid w:val="081B6624"/>
    <w:rsid w:val="0822685D"/>
    <w:rsid w:val="08236E3D"/>
    <w:rsid w:val="082B4670"/>
    <w:rsid w:val="08315A77"/>
    <w:rsid w:val="083F0066"/>
    <w:rsid w:val="08422E7E"/>
    <w:rsid w:val="084A149B"/>
    <w:rsid w:val="084D297F"/>
    <w:rsid w:val="08536A17"/>
    <w:rsid w:val="085722E0"/>
    <w:rsid w:val="08581532"/>
    <w:rsid w:val="085D69CC"/>
    <w:rsid w:val="085F133B"/>
    <w:rsid w:val="08674270"/>
    <w:rsid w:val="08682CA6"/>
    <w:rsid w:val="08695F78"/>
    <w:rsid w:val="087128DB"/>
    <w:rsid w:val="087370B9"/>
    <w:rsid w:val="088352BB"/>
    <w:rsid w:val="08856DEC"/>
    <w:rsid w:val="08861655"/>
    <w:rsid w:val="0886645F"/>
    <w:rsid w:val="088909B9"/>
    <w:rsid w:val="0896666F"/>
    <w:rsid w:val="089E5CB8"/>
    <w:rsid w:val="08A278D9"/>
    <w:rsid w:val="08A6538C"/>
    <w:rsid w:val="08A945C9"/>
    <w:rsid w:val="08A95ADC"/>
    <w:rsid w:val="08A97619"/>
    <w:rsid w:val="08AD4A2B"/>
    <w:rsid w:val="08B374B6"/>
    <w:rsid w:val="08C276F9"/>
    <w:rsid w:val="08CC259D"/>
    <w:rsid w:val="08D273B0"/>
    <w:rsid w:val="08D35DAA"/>
    <w:rsid w:val="08D83818"/>
    <w:rsid w:val="08EE3D79"/>
    <w:rsid w:val="08FB7313"/>
    <w:rsid w:val="090C4E18"/>
    <w:rsid w:val="09186D58"/>
    <w:rsid w:val="091A312D"/>
    <w:rsid w:val="09284EE1"/>
    <w:rsid w:val="092B36E5"/>
    <w:rsid w:val="092D62F0"/>
    <w:rsid w:val="09314282"/>
    <w:rsid w:val="093355A0"/>
    <w:rsid w:val="09373B5A"/>
    <w:rsid w:val="094832E7"/>
    <w:rsid w:val="095767DB"/>
    <w:rsid w:val="09581E0B"/>
    <w:rsid w:val="095B721E"/>
    <w:rsid w:val="096110BE"/>
    <w:rsid w:val="09672C4F"/>
    <w:rsid w:val="096D3B08"/>
    <w:rsid w:val="09727371"/>
    <w:rsid w:val="09741BF2"/>
    <w:rsid w:val="097E295A"/>
    <w:rsid w:val="097E5236"/>
    <w:rsid w:val="097F2ADA"/>
    <w:rsid w:val="09811362"/>
    <w:rsid w:val="098C5F6A"/>
    <w:rsid w:val="098E58FB"/>
    <w:rsid w:val="09975029"/>
    <w:rsid w:val="09992DA4"/>
    <w:rsid w:val="09AB619A"/>
    <w:rsid w:val="09AE6CD7"/>
    <w:rsid w:val="09B305E8"/>
    <w:rsid w:val="09B6208C"/>
    <w:rsid w:val="09BA4874"/>
    <w:rsid w:val="09BF53EC"/>
    <w:rsid w:val="09C71085"/>
    <w:rsid w:val="09D16935"/>
    <w:rsid w:val="09DB7F9E"/>
    <w:rsid w:val="09DC429A"/>
    <w:rsid w:val="09EF451D"/>
    <w:rsid w:val="09F21AD5"/>
    <w:rsid w:val="09F255B2"/>
    <w:rsid w:val="09F97ABE"/>
    <w:rsid w:val="09FB55B8"/>
    <w:rsid w:val="0A08226E"/>
    <w:rsid w:val="0A0D52EB"/>
    <w:rsid w:val="0A120443"/>
    <w:rsid w:val="0A2E773B"/>
    <w:rsid w:val="0A320DD3"/>
    <w:rsid w:val="0A4870CC"/>
    <w:rsid w:val="0A4B0261"/>
    <w:rsid w:val="0A50319F"/>
    <w:rsid w:val="0A5C6547"/>
    <w:rsid w:val="0A5D3D18"/>
    <w:rsid w:val="0A6250EA"/>
    <w:rsid w:val="0A6460C9"/>
    <w:rsid w:val="0A766BCC"/>
    <w:rsid w:val="0A7E1B5B"/>
    <w:rsid w:val="0A800832"/>
    <w:rsid w:val="0A85459D"/>
    <w:rsid w:val="0A8C2D02"/>
    <w:rsid w:val="0A8F4E07"/>
    <w:rsid w:val="0A9A4650"/>
    <w:rsid w:val="0AA03A6A"/>
    <w:rsid w:val="0AAD2CC8"/>
    <w:rsid w:val="0AAF30DA"/>
    <w:rsid w:val="0ABF3E51"/>
    <w:rsid w:val="0AC0410C"/>
    <w:rsid w:val="0AC7549A"/>
    <w:rsid w:val="0ACE5692"/>
    <w:rsid w:val="0ADA51CD"/>
    <w:rsid w:val="0AE26CD0"/>
    <w:rsid w:val="0AE76262"/>
    <w:rsid w:val="0AF56F46"/>
    <w:rsid w:val="0AF65D7F"/>
    <w:rsid w:val="0AF930EE"/>
    <w:rsid w:val="0AF96069"/>
    <w:rsid w:val="0B013250"/>
    <w:rsid w:val="0B013DC3"/>
    <w:rsid w:val="0B016BFE"/>
    <w:rsid w:val="0B0C10FF"/>
    <w:rsid w:val="0B0F3BED"/>
    <w:rsid w:val="0B106E41"/>
    <w:rsid w:val="0B135418"/>
    <w:rsid w:val="0B14684A"/>
    <w:rsid w:val="0B2375E2"/>
    <w:rsid w:val="0B261C79"/>
    <w:rsid w:val="0B284FAE"/>
    <w:rsid w:val="0B350656"/>
    <w:rsid w:val="0B381EF4"/>
    <w:rsid w:val="0B4124AA"/>
    <w:rsid w:val="0B4A7D06"/>
    <w:rsid w:val="0B54407A"/>
    <w:rsid w:val="0B5B7D7D"/>
    <w:rsid w:val="0B5D0BC1"/>
    <w:rsid w:val="0B5D7BAD"/>
    <w:rsid w:val="0B6F7939"/>
    <w:rsid w:val="0B705B32"/>
    <w:rsid w:val="0B775CEC"/>
    <w:rsid w:val="0B7A075E"/>
    <w:rsid w:val="0B7C10B1"/>
    <w:rsid w:val="0B831B88"/>
    <w:rsid w:val="0B862D35"/>
    <w:rsid w:val="0B8D1293"/>
    <w:rsid w:val="0B936EC8"/>
    <w:rsid w:val="0B956FB7"/>
    <w:rsid w:val="0B975500"/>
    <w:rsid w:val="0B9936CD"/>
    <w:rsid w:val="0BA3490C"/>
    <w:rsid w:val="0BAA0D8B"/>
    <w:rsid w:val="0BB73AA3"/>
    <w:rsid w:val="0BB87E33"/>
    <w:rsid w:val="0BBD4547"/>
    <w:rsid w:val="0BCD0D26"/>
    <w:rsid w:val="0BD9344F"/>
    <w:rsid w:val="0BDC5286"/>
    <w:rsid w:val="0BE21240"/>
    <w:rsid w:val="0BE24D9A"/>
    <w:rsid w:val="0BEB6A72"/>
    <w:rsid w:val="0BFB1FAB"/>
    <w:rsid w:val="0BFD5A46"/>
    <w:rsid w:val="0BFE4490"/>
    <w:rsid w:val="0C08746D"/>
    <w:rsid w:val="0C0F7A1D"/>
    <w:rsid w:val="0C126BE9"/>
    <w:rsid w:val="0C234952"/>
    <w:rsid w:val="0C244515"/>
    <w:rsid w:val="0C297E96"/>
    <w:rsid w:val="0C472239"/>
    <w:rsid w:val="0C476893"/>
    <w:rsid w:val="0C477ABC"/>
    <w:rsid w:val="0C507ED8"/>
    <w:rsid w:val="0C560B3D"/>
    <w:rsid w:val="0C5978CA"/>
    <w:rsid w:val="0C5B46FD"/>
    <w:rsid w:val="0C607954"/>
    <w:rsid w:val="0C674FD8"/>
    <w:rsid w:val="0C6F1945"/>
    <w:rsid w:val="0C8118EA"/>
    <w:rsid w:val="0C8F46A9"/>
    <w:rsid w:val="0C962F72"/>
    <w:rsid w:val="0C9C4395"/>
    <w:rsid w:val="0CA326FC"/>
    <w:rsid w:val="0CA57CDF"/>
    <w:rsid w:val="0CA62E28"/>
    <w:rsid w:val="0CB02BAF"/>
    <w:rsid w:val="0CBD6B55"/>
    <w:rsid w:val="0CC954FA"/>
    <w:rsid w:val="0CCE0D62"/>
    <w:rsid w:val="0CE57E5A"/>
    <w:rsid w:val="0CE72260"/>
    <w:rsid w:val="0CF02BE0"/>
    <w:rsid w:val="0CF72B0B"/>
    <w:rsid w:val="0CFD7FBB"/>
    <w:rsid w:val="0CFE4314"/>
    <w:rsid w:val="0D012014"/>
    <w:rsid w:val="0D066CD8"/>
    <w:rsid w:val="0D084121"/>
    <w:rsid w:val="0D1411E7"/>
    <w:rsid w:val="0D1662F0"/>
    <w:rsid w:val="0D197F83"/>
    <w:rsid w:val="0D1C351E"/>
    <w:rsid w:val="0D1D3194"/>
    <w:rsid w:val="0D1E7912"/>
    <w:rsid w:val="0D2333BE"/>
    <w:rsid w:val="0D23734E"/>
    <w:rsid w:val="0D2E5628"/>
    <w:rsid w:val="0D344E8A"/>
    <w:rsid w:val="0D366907"/>
    <w:rsid w:val="0D380CDB"/>
    <w:rsid w:val="0D3D5EE8"/>
    <w:rsid w:val="0D4525BC"/>
    <w:rsid w:val="0D4606D6"/>
    <w:rsid w:val="0D483EB5"/>
    <w:rsid w:val="0D527A7F"/>
    <w:rsid w:val="0D566F2A"/>
    <w:rsid w:val="0D5F5E5E"/>
    <w:rsid w:val="0D6E011C"/>
    <w:rsid w:val="0D7C43AB"/>
    <w:rsid w:val="0D7F6627"/>
    <w:rsid w:val="0D821B4C"/>
    <w:rsid w:val="0D86163D"/>
    <w:rsid w:val="0D8E2768"/>
    <w:rsid w:val="0D8F375A"/>
    <w:rsid w:val="0D946CAA"/>
    <w:rsid w:val="0D95362E"/>
    <w:rsid w:val="0D9773A6"/>
    <w:rsid w:val="0D994A7C"/>
    <w:rsid w:val="0DA11FD2"/>
    <w:rsid w:val="0DAF38B2"/>
    <w:rsid w:val="0DB07846"/>
    <w:rsid w:val="0DC108C7"/>
    <w:rsid w:val="0DD43491"/>
    <w:rsid w:val="0DD61683"/>
    <w:rsid w:val="0DD705E5"/>
    <w:rsid w:val="0DE43B40"/>
    <w:rsid w:val="0DEA11E3"/>
    <w:rsid w:val="0DEA5867"/>
    <w:rsid w:val="0DEB2D6D"/>
    <w:rsid w:val="0DEB76F2"/>
    <w:rsid w:val="0DEC1473"/>
    <w:rsid w:val="0DF47C0E"/>
    <w:rsid w:val="0E007717"/>
    <w:rsid w:val="0E182A6D"/>
    <w:rsid w:val="0E1B2F47"/>
    <w:rsid w:val="0E1B6158"/>
    <w:rsid w:val="0E21404C"/>
    <w:rsid w:val="0E231E48"/>
    <w:rsid w:val="0E231F78"/>
    <w:rsid w:val="0E274173"/>
    <w:rsid w:val="0E2A1EC4"/>
    <w:rsid w:val="0E342E47"/>
    <w:rsid w:val="0E3C38B9"/>
    <w:rsid w:val="0E4453D5"/>
    <w:rsid w:val="0E4534DB"/>
    <w:rsid w:val="0E456E02"/>
    <w:rsid w:val="0E4A4418"/>
    <w:rsid w:val="0E5232CD"/>
    <w:rsid w:val="0E5567FB"/>
    <w:rsid w:val="0E625C06"/>
    <w:rsid w:val="0E7B579C"/>
    <w:rsid w:val="0E7F4D7B"/>
    <w:rsid w:val="0E883238"/>
    <w:rsid w:val="0E941B37"/>
    <w:rsid w:val="0E9C09EC"/>
    <w:rsid w:val="0EB43E31"/>
    <w:rsid w:val="0EB45626"/>
    <w:rsid w:val="0EBF671D"/>
    <w:rsid w:val="0EC87A33"/>
    <w:rsid w:val="0ED463D8"/>
    <w:rsid w:val="0EEC27F2"/>
    <w:rsid w:val="0EEE4933"/>
    <w:rsid w:val="0EF962AB"/>
    <w:rsid w:val="0EFE2A6C"/>
    <w:rsid w:val="0F001E84"/>
    <w:rsid w:val="0F035104"/>
    <w:rsid w:val="0F0476E6"/>
    <w:rsid w:val="0F0A3BA7"/>
    <w:rsid w:val="0F136022"/>
    <w:rsid w:val="0F1F343A"/>
    <w:rsid w:val="0F225395"/>
    <w:rsid w:val="0F265A2B"/>
    <w:rsid w:val="0F2B77D7"/>
    <w:rsid w:val="0F300FD9"/>
    <w:rsid w:val="0F4D107E"/>
    <w:rsid w:val="0F4E618A"/>
    <w:rsid w:val="0F5660FF"/>
    <w:rsid w:val="0F574786"/>
    <w:rsid w:val="0F5B4403"/>
    <w:rsid w:val="0F5B56E9"/>
    <w:rsid w:val="0F66546C"/>
    <w:rsid w:val="0F6855F2"/>
    <w:rsid w:val="0F693E8F"/>
    <w:rsid w:val="0F695042"/>
    <w:rsid w:val="0F7B5F7E"/>
    <w:rsid w:val="0F8177FF"/>
    <w:rsid w:val="0F8C0505"/>
    <w:rsid w:val="0F94376F"/>
    <w:rsid w:val="0F967B11"/>
    <w:rsid w:val="0F982A76"/>
    <w:rsid w:val="0F9D165B"/>
    <w:rsid w:val="0FA027C1"/>
    <w:rsid w:val="0FA50D01"/>
    <w:rsid w:val="0FAB457E"/>
    <w:rsid w:val="0FAD7E29"/>
    <w:rsid w:val="0FB51D65"/>
    <w:rsid w:val="0FB73D2F"/>
    <w:rsid w:val="0FBF3AEC"/>
    <w:rsid w:val="0FCC2F31"/>
    <w:rsid w:val="0FCD2084"/>
    <w:rsid w:val="0FD12C73"/>
    <w:rsid w:val="0FD17741"/>
    <w:rsid w:val="0FD61CDB"/>
    <w:rsid w:val="0FE52460"/>
    <w:rsid w:val="0FEC49C9"/>
    <w:rsid w:val="0FEF3506"/>
    <w:rsid w:val="0FF0558F"/>
    <w:rsid w:val="0FF32A86"/>
    <w:rsid w:val="0FF70B84"/>
    <w:rsid w:val="0FF76C99"/>
    <w:rsid w:val="0FFC029D"/>
    <w:rsid w:val="0FFD0285"/>
    <w:rsid w:val="10083EDF"/>
    <w:rsid w:val="10092689"/>
    <w:rsid w:val="100D1BA1"/>
    <w:rsid w:val="100E5730"/>
    <w:rsid w:val="10155D3C"/>
    <w:rsid w:val="1022569B"/>
    <w:rsid w:val="10282537"/>
    <w:rsid w:val="102F50CC"/>
    <w:rsid w:val="102F65A3"/>
    <w:rsid w:val="103233B6"/>
    <w:rsid w:val="10417A9D"/>
    <w:rsid w:val="10505480"/>
    <w:rsid w:val="105552F6"/>
    <w:rsid w:val="10657D4B"/>
    <w:rsid w:val="106A0DA2"/>
    <w:rsid w:val="106F733F"/>
    <w:rsid w:val="1073424B"/>
    <w:rsid w:val="10743247"/>
    <w:rsid w:val="10801790"/>
    <w:rsid w:val="1086701F"/>
    <w:rsid w:val="108D5B00"/>
    <w:rsid w:val="108E3D8B"/>
    <w:rsid w:val="10973B61"/>
    <w:rsid w:val="10A627BE"/>
    <w:rsid w:val="10A9623E"/>
    <w:rsid w:val="10B33249"/>
    <w:rsid w:val="10B55582"/>
    <w:rsid w:val="10B71725"/>
    <w:rsid w:val="10B80D63"/>
    <w:rsid w:val="10B926C2"/>
    <w:rsid w:val="10BE2E9B"/>
    <w:rsid w:val="10D22029"/>
    <w:rsid w:val="10D32D73"/>
    <w:rsid w:val="10D4446D"/>
    <w:rsid w:val="10D8227B"/>
    <w:rsid w:val="10DB0325"/>
    <w:rsid w:val="10DF40F8"/>
    <w:rsid w:val="10E16B8A"/>
    <w:rsid w:val="10E87F18"/>
    <w:rsid w:val="10EA0134"/>
    <w:rsid w:val="10EA45C9"/>
    <w:rsid w:val="10EF74F9"/>
    <w:rsid w:val="10F7015B"/>
    <w:rsid w:val="11001706"/>
    <w:rsid w:val="11023D40"/>
    <w:rsid w:val="110A4333"/>
    <w:rsid w:val="11170CAF"/>
    <w:rsid w:val="11262947"/>
    <w:rsid w:val="112635D3"/>
    <w:rsid w:val="112C0273"/>
    <w:rsid w:val="113153A5"/>
    <w:rsid w:val="11325F2B"/>
    <w:rsid w:val="1133034B"/>
    <w:rsid w:val="1138488E"/>
    <w:rsid w:val="114264CF"/>
    <w:rsid w:val="1145536B"/>
    <w:rsid w:val="114C66F9"/>
    <w:rsid w:val="11515ABE"/>
    <w:rsid w:val="11521408"/>
    <w:rsid w:val="115A5332"/>
    <w:rsid w:val="11627B04"/>
    <w:rsid w:val="116B5E97"/>
    <w:rsid w:val="116B679E"/>
    <w:rsid w:val="116F7223"/>
    <w:rsid w:val="117029AE"/>
    <w:rsid w:val="1175486E"/>
    <w:rsid w:val="117D68B3"/>
    <w:rsid w:val="11876A0C"/>
    <w:rsid w:val="118A6E56"/>
    <w:rsid w:val="118B0A7A"/>
    <w:rsid w:val="119575C8"/>
    <w:rsid w:val="119613BE"/>
    <w:rsid w:val="11BA426E"/>
    <w:rsid w:val="11BC010C"/>
    <w:rsid w:val="11BE0680"/>
    <w:rsid w:val="11BF511D"/>
    <w:rsid w:val="11BF6ECB"/>
    <w:rsid w:val="11C13EE0"/>
    <w:rsid w:val="11C17556"/>
    <w:rsid w:val="11C60C54"/>
    <w:rsid w:val="11C833E8"/>
    <w:rsid w:val="11D34CAD"/>
    <w:rsid w:val="11D72467"/>
    <w:rsid w:val="11D7567C"/>
    <w:rsid w:val="11DB182B"/>
    <w:rsid w:val="11E10E67"/>
    <w:rsid w:val="11E22BBA"/>
    <w:rsid w:val="11E22D30"/>
    <w:rsid w:val="11EA54B7"/>
    <w:rsid w:val="11EB4164"/>
    <w:rsid w:val="12005730"/>
    <w:rsid w:val="120060D9"/>
    <w:rsid w:val="12044EF2"/>
    <w:rsid w:val="120A242E"/>
    <w:rsid w:val="120E7E53"/>
    <w:rsid w:val="12241424"/>
    <w:rsid w:val="12275665"/>
    <w:rsid w:val="12285EA6"/>
    <w:rsid w:val="1228768B"/>
    <w:rsid w:val="12292DB6"/>
    <w:rsid w:val="12301977"/>
    <w:rsid w:val="123859EF"/>
    <w:rsid w:val="123879BB"/>
    <w:rsid w:val="123C051C"/>
    <w:rsid w:val="123E12D1"/>
    <w:rsid w:val="12467095"/>
    <w:rsid w:val="124D0653"/>
    <w:rsid w:val="124D4DDD"/>
    <w:rsid w:val="124E3724"/>
    <w:rsid w:val="124F5DD4"/>
    <w:rsid w:val="125234A8"/>
    <w:rsid w:val="12546DE6"/>
    <w:rsid w:val="125807FC"/>
    <w:rsid w:val="125C0BBE"/>
    <w:rsid w:val="125F0409"/>
    <w:rsid w:val="12616EBD"/>
    <w:rsid w:val="12685A1F"/>
    <w:rsid w:val="127759F8"/>
    <w:rsid w:val="127B28B9"/>
    <w:rsid w:val="127E5458"/>
    <w:rsid w:val="128123D2"/>
    <w:rsid w:val="128616CC"/>
    <w:rsid w:val="128D6FC9"/>
    <w:rsid w:val="129E4D32"/>
    <w:rsid w:val="12A3059B"/>
    <w:rsid w:val="12B10F0A"/>
    <w:rsid w:val="12BA6F11"/>
    <w:rsid w:val="12C144DA"/>
    <w:rsid w:val="12C42CA2"/>
    <w:rsid w:val="12CA5B28"/>
    <w:rsid w:val="12CF476D"/>
    <w:rsid w:val="12D0515D"/>
    <w:rsid w:val="12D6271E"/>
    <w:rsid w:val="12DA1AE3"/>
    <w:rsid w:val="12DB0E03"/>
    <w:rsid w:val="12E56E05"/>
    <w:rsid w:val="12E64819"/>
    <w:rsid w:val="12EF5FBA"/>
    <w:rsid w:val="12F1566B"/>
    <w:rsid w:val="12F16B5B"/>
    <w:rsid w:val="12F372B0"/>
    <w:rsid w:val="12FD1F1C"/>
    <w:rsid w:val="13050A91"/>
    <w:rsid w:val="130721A6"/>
    <w:rsid w:val="13090836"/>
    <w:rsid w:val="130A2559"/>
    <w:rsid w:val="130E4A0D"/>
    <w:rsid w:val="13117B4E"/>
    <w:rsid w:val="131B3E59"/>
    <w:rsid w:val="131C6770"/>
    <w:rsid w:val="131D6D25"/>
    <w:rsid w:val="131E2317"/>
    <w:rsid w:val="13206EE8"/>
    <w:rsid w:val="132525B7"/>
    <w:rsid w:val="132C264B"/>
    <w:rsid w:val="132E2706"/>
    <w:rsid w:val="13472D4C"/>
    <w:rsid w:val="134D0507"/>
    <w:rsid w:val="134E0105"/>
    <w:rsid w:val="13517FF7"/>
    <w:rsid w:val="135226AF"/>
    <w:rsid w:val="13537D2A"/>
    <w:rsid w:val="13540663"/>
    <w:rsid w:val="13581385"/>
    <w:rsid w:val="1358160F"/>
    <w:rsid w:val="135B70C7"/>
    <w:rsid w:val="13623FB2"/>
    <w:rsid w:val="136902CE"/>
    <w:rsid w:val="136E6859"/>
    <w:rsid w:val="137038A5"/>
    <w:rsid w:val="137237CB"/>
    <w:rsid w:val="13751B9E"/>
    <w:rsid w:val="138A2DDE"/>
    <w:rsid w:val="138A487A"/>
    <w:rsid w:val="138B13E9"/>
    <w:rsid w:val="139B2D2E"/>
    <w:rsid w:val="139D3C46"/>
    <w:rsid w:val="139F396B"/>
    <w:rsid w:val="13A02D2C"/>
    <w:rsid w:val="13B532E4"/>
    <w:rsid w:val="13B60966"/>
    <w:rsid w:val="13C06F2A"/>
    <w:rsid w:val="13CE0F3A"/>
    <w:rsid w:val="13D221E3"/>
    <w:rsid w:val="13D57B8A"/>
    <w:rsid w:val="13E37991"/>
    <w:rsid w:val="13F56BD4"/>
    <w:rsid w:val="13FA068E"/>
    <w:rsid w:val="13FC4407"/>
    <w:rsid w:val="13FC61B5"/>
    <w:rsid w:val="140137CB"/>
    <w:rsid w:val="14036F45"/>
    <w:rsid w:val="14054E31"/>
    <w:rsid w:val="140E590F"/>
    <w:rsid w:val="14102F6E"/>
    <w:rsid w:val="1410342F"/>
    <w:rsid w:val="14186D67"/>
    <w:rsid w:val="14197EF6"/>
    <w:rsid w:val="141B37A7"/>
    <w:rsid w:val="141B3F7E"/>
    <w:rsid w:val="141D15EF"/>
    <w:rsid w:val="1420439E"/>
    <w:rsid w:val="14221993"/>
    <w:rsid w:val="14261590"/>
    <w:rsid w:val="142B46CE"/>
    <w:rsid w:val="14465F6E"/>
    <w:rsid w:val="14495172"/>
    <w:rsid w:val="144E4536"/>
    <w:rsid w:val="14561C77"/>
    <w:rsid w:val="145E7608"/>
    <w:rsid w:val="1462310D"/>
    <w:rsid w:val="14636231"/>
    <w:rsid w:val="14885C9A"/>
    <w:rsid w:val="148A7245"/>
    <w:rsid w:val="14902DA1"/>
    <w:rsid w:val="1494255D"/>
    <w:rsid w:val="149D064A"/>
    <w:rsid w:val="14A90961"/>
    <w:rsid w:val="14A970C4"/>
    <w:rsid w:val="14AA3438"/>
    <w:rsid w:val="14AC7822"/>
    <w:rsid w:val="14B52807"/>
    <w:rsid w:val="14BC20BD"/>
    <w:rsid w:val="14BC3B96"/>
    <w:rsid w:val="14BE346A"/>
    <w:rsid w:val="14BF71E2"/>
    <w:rsid w:val="14C343F5"/>
    <w:rsid w:val="14D7277E"/>
    <w:rsid w:val="14DA3EDF"/>
    <w:rsid w:val="14E8382A"/>
    <w:rsid w:val="14EB3C1E"/>
    <w:rsid w:val="14EC54BA"/>
    <w:rsid w:val="14EF7AC7"/>
    <w:rsid w:val="14F42CAB"/>
    <w:rsid w:val="150828AE"/>
    <w:rsid w:val="150A00C9"/>
    <w:rsid w:val="15232C2B"/>
    <w:rsid w:val="152E467C"/>
    <w:rsid w:val="153A2141"/>
    <w:rsid w:val="154346AD"/>
    <w:rsid w:val="154A2F50"/>
    <w:rsid w:val="154D7641"/>
    <w:rsid w:val="15581DAD"/>
    <w:rsid w:val="15604521"/>
    <w:rsid w:val="15667925"/>
    <w:rsid w:val="156A53A0"/>
    <w:rsid w:val="156B732C"/>
    <w:rsid w:val="156D22BB"/>
    <w:rsid w:val="15773060"/>
    <w:rsid w:val="157B75AD"/>
    <w:rsid w:val="158B3121"/>
    <w:rsid w:val="1590413F"/>
    <w:rsid w:val="15926300"/>
    <w:rsid w:val="159A1EE1"/>
    <w:rsid w:val="159D710D"/>
    <w:rsid w:val="15A1379D"/>
    <w:rsid w:val="15B04FA7"/>
    <w:rsid w:val="15B12FCF"/>
    <w:rsid w:val="15B540CB"/>
    <w:rsid w:val="15BC378D"/>
    <w:rsid w:val="15BD7BC5"/>
    <w:rsid w:val="15CA22E2"/>
    <w:rsid w:val="15D15497"/>
    <w:rsid w:val="15D43A4D"/>
    <w:rsid w:val="15DF0457"/>
    <w:rsid w:val="15E038B4"/>
    <w:rsid w:val="15E47854"/>
    <w:rsid w:val="15F829AC"/>
    <w:rsid w:val="16000A40"/>
    <w:rsid w:val="160B0931"/>
    <w:rsid w:val="16157A01"/>
    <w:rsid w:val="16177FEF"/>
    <w:rsid w:val="161F7022"/>
    <w:rsid w:val="1626576B"/>
    <w:rsid w:val="162B1148"/>
    <w:rsid w:val="162C08A7"/>
    <w:rsid w:val="162D31D5"/>
    <w:rsid w:val="163E0F36"/>
    <w:rsid w:val="164200CB"/>
    <w:rsid w:val="164B0EF9"/>
    <w:rsid w:val="164C2CF7"/>
    <w:rsid w:val="16502059"/>
    <w:rsid w:val="165110B9"/>
    <w:rsid w:val="16526560"/>
    <w:rsid w:val="165D6CB3"/>
    <w:rsid w:val="166E7112"/>
    <w:rsid w:val="16744D50"/>
    <w:rsid w:val="16747989"/>
    <w:rsid w:val="167F6BD5"/>
    <w:rsid w:val="16845BEB"/>
    <w:rsid w:val="168B0ABA"/>
    <w:rsid w:val="168B4C0E"/>
    <w:rsid w:val="169508A9"/>
    <w:rsid w:val="169E46FD"/>
    <w:rsid w:val="169F551D"/>
    <w:rsid w:val="16A91EF8"/>
    <w:rsid w:val="16AB3EC2"/>
    <w:rsid w:val="16B03AC2"/>
    <w:rsid w:val="16CF5E02"/>
    <w:rsid w:val="16EA32C2"/>
    <w:rsid w:val="16F226A6"/>
    <w:rsid w:val="1707650E"/>
    <w:rsid w:val="171952CF"/>
    <w:rsid w:val="171C091C"/>
    <w:rsid w:val="17235302"/>
    <w:rsid w:val="17244721"/>
    <w:rsid w:val="1731670E"/>
    <w:rsid w:val="17367C2F"/>
    <w:rsid w:val="17371E5C"/>
    <w:rsid w:val="173977B5"/>
    <w:rsid w:val="17457E73"/>
    <w:rsid w:val="17514A69"/>
    <w:rsid w:val="1752433D"/>
    <w:rsid w:val="1754759C"/>
    <w:rsid w:val="175662F3"/>
    <w:rsid w:val="176D7967"/>
    <w:rsid w:val="178613CF"/>
    <w:rsid w:val="17873B9F"/>
    <w:rsid w:val="178C25A4"/>
    <w:rsid w:val="17995EA7"/>
    <w:rsid w:val="17996410"/>
    <w:rsid w:val="17BE19D3"/>
    <w:rsid w:val="17BF5E77"/>
    <w:rsid w:val="17C52AFB"/>
    <w:rsid w:val="17D05A90"/>
    <w:rsid w:val="17D53C86"/>
    <w:rsid w:val="17D9758D"/>
    <w:rsid w:val="17DB1A16"/>
    <w:rsid w:val="17E0004E"/>
    <w:rsid w:val="17E53EF9"/>
    <w:rsid w:val="17ED4D85"/>
    <w:rsid w:val="17F32465"/>
    <w:rsid w:val="17FF6273"/>
    <w:rsid w:val="181B5077"/>
    <w:rsid w:val="181D1692"/>
    <w:rsid w:val="182908D4"/>
    <w:rsid w:val="182B31C3"/>
    <w:rsid w:val="182F3CF2"/>
    <w:rsid w:val="182F467F"/>
    <w:rsid w:val="183028D1"/>
    <w:rsid w:val="18305738"/>
    <w:rsid w:val="18395C1E"/>
    <w:rsid w:val="183E5A01"/>
    <w:rsid w:val="184C52FC"/>
    <w:rsid w:val="184E71FB"/>
    <w:rsid w:val="185A4CC6"/>
    <w:rsid w:val="185B5474"/>
    <w:rsid w:val="185F171D"/>
    <w:rsid w:val="185F3976"/>
    <w:rsid w:val="185F41B0"/>
    <w:rsid w:val="18674DEA"/>
    <w:rsid w:val="186F7AE7"/>
    <w:rsid w:val="18770500"/>
    <w:rsid w:val="187D603C"/>
    <w:rsid w:val="18802689"/>
    <w:rsid w:val="1882642D"/>
    <w:rsid w:val="18944163"/>
    <w:rsid w:val="1895590B"/>
    <w:rsid w:val="18A312F5"/>
    <w:rsid w:val="18AD5050"/>
    <w:rsid w:val="18C54C5F"/>
    <w:rsid w:val="18E006D1"/>
    <w:rsid w:val="18E07C90"/>
    <w:rsid w:val="18E17503"/>
    <w:rsid w:val="18E30F9B"/>
    <w:rsid w:val="18EA4956"/>
    <w:rsid w:val="18EB67F8"/>
    <w:rsid w:val="18F40222"/>
    <w:rsid w:val="18F92EC6"/>
    <w:rsid w:val="190178D4"/>
    <w:rsid w:val="190563C4"/>
    <w:rsid w:val="190C05BB"/>
    <w:rsid w:val="19114D5A"/>
    <w:rsid w:val="192341E3"/>
    <w:rsid w:val="192500A2"/>
    <w:rsid w:val="1925348B"/>
    <w:rsid w:val="19322678"/>
    <w:rsid w:val="193957B5"/>
    <w:rsid w:val="193B02E3"/>
    <w:rsid w:val="193E2C4B"/>
    <w:rsid w:val="193F0C7A"/>
    <w:rsid w:val="19455341"/>
    <w:rsid w:val="19456A85"/>
    <w:rsid w:val="195A6E64"/>
    <w:rsid w:val="195D57D8"/>
    <w:rsid w:val="195F1011"/>
    <w:rsid w:val="196441AC"/>
    <w:rsid w:val="19645F8C"/>
    <w:rsid w:val="1975372E"/>
    <w:rsid w:val="198910C8"/>
    <w:rsid w:val="198C1D89"/>
    <w:rsid w:val="198F448E"/>
    <w:rsid w:val="199158FC"/>
    <w:rsid w:val="19962C07"/>
    <w:rsid w:val="19990435"/>
    <w:rsid w:val="19A33BAB"/>
    <w:rsid w:val="19A40F43"/>
    <w:rsid w:val="19B4308D"/>
    <w:rsid w:val="19BD0194"/>
    <w:rsid w:val="19C06C6C"/>
    <w:rsid w:val="19C07FF8"/>
    <w:rsid w:val="19C254A7"/>
    <w:rsid w:val="19C37774"/>
    <w:rsid w:val="19CC03D7"/>
    <w:rsid w:val="19D07257"/>
    <w:rsid w:val="19D72393"/>
    <w:rsid w:val="19DA35FB"/>
    <w:rsid w:val="19DC4392"/>
    <w:rsid w:val="19DF45AE"/>
    <w:rsid w:val="19E27BFB"/>
    <w:rsid w:val="19E36D5B"/>
    <w:rsid w:val="19E45A39"/>
    <w:rsid w:val="19E63640"/>
    <w:rsid w:val="19EB4D7B"/>
    <w:rsid w:val="19EE2819"/>
    <w:rsid w:val="1A00467C"/>
    <w:rsid w:val="1A054998"/>
    <w:rsid w:val="1A0A7151"/>
    <w:rsid w:val="1A0B3B42"/>
    <w:rsid w:val="1A0D2641"/>
    <w:rsid w:val="1A131D85"/>
    <w:rsid w:val="1A14395E"/>
    <w:rsid w:val="1A183AF4"/>
    <w:rsid w:val="1A1A24C1"/>
    <w:rsid w:val="1A1C6195"/>
    <w:rsid w:val="1A290326"/>
    <w:rsid w:val="1A2A72A3"/>
    <w:rsid w:val="1A33425D"/>
    <w:rsid w:val="1A393593"/>
    <w:rsid w:val="1A3A7A37"/>
    <w:rsid w:val="1A3D1F3A"/>
    <w:rsid w:val="1A3E7618"/>
    <w:rsid w:val="1A431141"/>
    <w:rsid w:val="1A444503"/>
    <w:rsid w:val="1A4B3263"/>
    <w:rsid w:val="1A662169"/>
    <w:rsid w:val="1A740758"/>
    <w:rsid w:val="1A752E4A"/>
    <w:rsid w:val="1A776784"/>
    <w:rsid w:val="1A7C004F"/>
    <w:rsid w:val="1A824F3A"/>
    <w:rsid w:val="1A8532E1"/>
    <w:rsid w:val="1A8C7B1E"/>
    <w:rsid w:val="1A8D530B"/>
    <w:rsid w:val="1A903AFB"/>
    <w:rsid w:val="1A9C7C88"/>
    <w:rsid w:val="1AA4253A"/>
    <w:rsid w:val="1AA500DE"/>
    <w:rsid w:val="1AB377E9"/>
    <w:rsid w:val="1ABF618E"/>
    <w:rsid w:val="1AC82683"/>
    <w:rsid w:val="1ACB2DBD"/>
    <w:rsid w:val="1AD03EF7"/>
    <w:rsid w:val="1AD41B8C"/>
    <w:rsid w:val="1ADF3648"/>
    <w:rsid w:val="1AE16664"/>
    <w:rsid w:val="1AE654C9"/>
    <w:rsid w:val="1AE84BCF"/>
    <w:rsid w:val="1AEA2461"/>
    <w:rsid w:val="1AEC196D"/>
    <w:rsid w:val="1AF52A47"/>
    <w:rsid w:val="1AF82C05"/>
    <w:rsid w:val="1B0126B9"/>
    <w:rsid w:val="1B0754A5"/>
    <w:rsid w:val="1B0818E3"/>
    <w:rsid w:val="1B0B4645"/>
    <w:rsid w:val="1B0D2F08"/>
    <w:rsid w:val="1B1072D6"/>
    <w:rsid w:val="1B184A14"/>
    <w:rsid w:val="1B256925"/>
    <w:rsid w:val="1B2A7AAB"/>
    <w:rsid w:val="1B2D71ED"/>
    <w:rsid w:val="1B334486"/>
    <w:rsid w:val="1B355100"/>
    <w:rsid w:val="1B395374"/>
    <w:rsid w:val="1B420226"/>
    <w:rsid w:val="1B443A19"/>
    <w:rsid w:val="1B505038"/>
    <w:rsid w:val="1B5430E0"/>
    <w:rsid w:val="1B555762"/>
    <w:rsid w:val="1B636B19"/>
    <w:rsid w:val="1B7039AB"/>
    <w:rsid w:val="1B7155C7"/>
    <w:rsid w:val="1B7E4511"/>
    <w:rsid w:val="1B801C1E"/>
    <w:rsid w:val="1B803FB9"/>
    <w:rsid w:val="1B894F0A"/>
    <w:rsid w:val="1B8F47C9"/>
    <w:rsid w:val="1B933520"/>
    <w:rsid w:val="1B9447E2"/>
    <w:rsid w:val="1B954A33"/>
    <w:rsid w:val="1BA60765"/>
    <w:rsid w:val="1BBF65A4"/>
    <w:rsid w:val="1BC021BE"/>
    <w:rsid w:val="1BC03F6C"/>
    <w:rsid w:val="1BC11A92"/>
    <w:rsid w:val="1BC43EC7"/>
    <w:rsid w:val="1BC669DB"/>
    <w:rsid w:val="1BC81072"/>
    <w:rsid w:val="1BDB06CF"/>
    <w:rsid w:val="1BDE5510"/>
    <w:rsid w:val="1BE350C3"/>
    <w:rsid w:val="1BEB573C"/>
    <w:rsid w:val="1BF37439"/>
    <w:rsid w:val="1BF70EAC"/>
    <w:rsid w:val="1BFC69AE"/>
    <w:rsid w:val="1BFF127E"/>
    <w:rsid w:val="1C0851C2"/>
    <w:rsid w:val="1C1357D3"/>
    <w:rsid w:val="1C163B8C"/>
    <w:rsid w:val="1C1A1F34"/>
    <w:rsid w:val="1C1C08F8"/>
    <w:rsid w:val="1C1D4DE8"/>
    <w:rsid w:val="1C291EFA"/>
    <w:rsid w:val="1C330AF2"/>
    <w:rsid w:val="1C3B71E2"/>
    <w:rsid w:val="1C444B9D"/>
    <w:rsid w:val="1C4A7CD9"/>
    <w:rsid w:val="1C515B8A"/>
    <w:rsid w:val="1C5348E8"/>
    <w:rsid w:val="1C53535A"/>
    <w:rsid w:val="1C5A6472"/>
    <w:rsid w:val="1C5D46AB"/>
    <w:rsid w:val="1C703A0F"/>
    <w:rsid w:val="1C710FED"/>
    <w:rsid w:val="1C80270C"/>
    <w:rsid w:val="1C85524E"/>
    <w:rsid w:val="1C8D1CA6"/>
    <w:rsid w:val="1C932F1B"/>
    <w:rsid w:val="1C980A44"/>
    <w:rsid w:val="1C9848E2"/>
    <w:rsid w:val="1C9D11D4"/>
    <w:rsid w:val="1C9D605B"/>
    <w:rsid w:val="1C9D6AB7"/>
    <w:rsid w:val="1CA67605"/>
    <w:rsid w:val="1CA71DDC"/>
    <w:rsid w:val="1CB37814"/>
    <w:rsid w:val="1CB93AAA"/>
    <w:rsid w:val="1CBC6AC5"/>
    <w:rsid w:val="1CC17F3B"/>
    <w:rsid w:val="1CD35F20"/>
    <w:rsid w:val="1CE30B93"/>
    <w:rsid w:val="1CE75528"/>
    <w:rsid w:val="1CEA12C1"/>
    <w:rsid w:val="1CEE060E"/>
    <w:rsid w:val="1CF42143"/>
    <w:rsid w:val="1CF86785"/>
    <w:rsid w:val="1CFB5B58"/>
    <w:rsid w:val="1CFC4769"/>
    <w:rsid w:val="1CFF1B42"/>
    <w:rsid w:val="1D010305"/>
    <w:rsid w:val="1D095684"/>
    <w:rsid w:val="1D0A503D"/>
    <w:rsid w:val="1D0B4EDD"/>
    <w:rsid w:val="1D126600"/>
    <w:rsid w:val="1D1D1F97"/>
    <w:rsid w:val="1D22452C"/>
    <w:rsid w:val="1D2F2FB7"/>
    <w:rsid w:val="1D39446B"/>
    <w:rsid w:val="1D3B3479"/>
    <w:rsid w:val="1D444728"/>
    <w:rsid w:val="1D4839F7"/>
    <w:rsid w:val="1D5A3553"/>
    <w:rsid w:val="1D5C4168"/>
    <w:rsid w:val="1D5E1C8E"/>
    <w:rsid w:val="1D5E4E67"/>
    <w:rsid w:val="1D613E31"/>
    <w:rsid w:val="1D670AEF"/>
    <w:rsid w:val="1D69418F"/>
    <w:rsid w:val="1D725C2B"/>
    <w:rsid w:val="1D77054C"/>
    <w:rsid w:val="1D790876"/>
    <w:rsid w:val="1D7B63DC"/>
    <w:rsid w:val="1D7C7E03"/>
    <w:rsid w:val="1D7F22B2"/>
    <w:rsid w:val="1D8174A9"/>
    <w:rsid w:val="1D840110"/>
    <w:rsid w:val="1D864D41"/>
    <w:rsid w:val="1D8877CF"/>
    <w:rsid w:val="1DA3717C"/>
    <w:rsid w:val="1DA80B83"/>
    <w:rsid w:val="1DB0344F"/>
    <w:rsid w:val="1DB33317"/>
    <w:rsid w:val="1DB63878"/>
    <w:rsid w:val="1DC046F7"/>
    <w:rsid w:val="1DC2016E"/>
    <w:rsid w:val="1DCE4243"/>
    <w:rsid w:val="1DD8524D"/>
    <w:rsid w:val="1DDB0442"/>
    <w:rsid w:val="1DDD29FA"/>
    <w:rsid w:val="1DE25C12"/>
    <w:rsid w:val="1DF31308"/>
    <w:rsid w:val="1DF87632"/>
    <w:rsid w:val="1DFB572F"/>
    <w:rsid w:val="1DFC1D39"/>
    <w:rsid w:val="1E0345E3"/>
    <w:rsid w:val="1E044BC7"/>
    <w:rsid w:val="1E0A5679"/>
    <w:rsid w:val="1E107DB8"/>
    <w:rsid w:val="1E143376"/>
    <w:rsid w:val="1E1434C5"/>
    <w:rsid w:val="1E162569"/>
    <w:rsid w:val="1E210712"/>
    <w:rsid w:val="1E2F53D8"/>
    <w:rsid w:val="1E365C51"/>
    <w:rsid w:val="1E400880"/>
    <w:rsid w:val="1E4A2212"/>
    <w:rsid w:val="1E4B5A17"/>
    <w:rsid w:val="1E546BED"/>
    <w:rsid w:val="1E645077"/>
    <w:rsid w:val="1E7463A8"/>
    <w:rsid w:val="1E763007"/>
    <w:rsid w:val="1E841CB5"/>
    <w:rsid w:val="1E8755C7"/>
    <w:rsid w:val="1E8D74DD"/>
    <w:rsid w:val="1E9528FC"/>
    <w:rsid w:val="1EAF59E0"/>
    <w:rsid w:val="1EB4768C"/>
    <w:rsid w:val="1EB51D82"/>
    <w:rsid w:val="1EBA1146"/>
    <w:rsid w:val="1EC33FAC"/>
    <w:rsid w:val="1EC975DB"/>
    <w:rsid w:val="1ECB662C"/>
    <w:rsid w:val="1ECC090F"/>
    <w:rsid w:val="1ECD4C4F"/>
    <w:rsid w:val="1ECE2A70"/>
    <w:rsid w:val="1EE31841"/>
    <w:rsid w:val="1EE7295A"/>
    <w:rsid w:val="1EEA12FF"/>
    <w:rsid w:val="1EEE10BD"/>
    <w:rsid w:val="1EEF5E29"/>
    <w:rsid w:val="1EF46C14"/>
    <w:rsid w:val="1EFA7794"/>
    <w:rsid w:val="1F0135A7"/>
    <w:rsid w:val="1F0B7BF4"/>
    <w:rsid w:val="1F0D3432"/>
    <w:rsid w:val="1F0F5FA2"/>
    <w:rsid w:val="1F110453"/>
    <w:rsid w:val="1F1D7B74"/>
    <w:rsid w:val="1F25203C"/>
    <w:rsid w:val="1F38206B"/>
    <w:rsid w:val="1F3D109C"/>
    <w:rsid w:val="1F4224C9"/>
    <w:rsid w:val="1F446C62"/>
    <w:rsid w:val="1F4849A4"/>
    <w:rsid w:val="1F4A0C71"/>
    <w:rsid w:val="1F5844BB"/>
    <w:rsid w:val="1F5F5B51"/>
    <w:rsid w:val="1F6343E3"/>
    <w:rsid w:val="1F663261"/>
    <w:rsid w:val="1F69491A"/>
    <w:rsid w:val="1F790D0C"/>
    <w:rsid w:val="1F9C240C"/>
    <w:rsid w:val="1FA33B7D"/>
    <w:rsid w:val="1FB40438"/>
    <w:rsid w:val="1FB673BE"/>
    <w:rsid w:val="1FB824A5"/>
    <w:rsid w:val="1FB9487F"/>
    <w:rsid w:val="1FBA47E0"/>
    <w:rsid w:val="1FBC35F8"/>
    <w:rsid w:val="1FC16504"/>
    <w:rsid w:val="1FC26FB4"/>
    <w:rsid w:val="1FCA360B"/>
    <w:rsid w:val="1FD06747"/>
    <w:rsid w:val="1FD219CC"/>
    <w:rsid w:val="1FD64CF7"/>
    <w:rsid w:val="1FD7308D"/>
    <w:rsid w:val="1FDA1F86"/>
    <w:rsid w:val="1FDF278E"/>
    <w:rsid w:val="1FE81CE3"/>
    <w:rsid w:val="1FEE5EB0"/>
    <w:rsid w:val="1FF11529"/>
    <w:rsid w:val="1FF143DC"/>
    <w:rsid w:val="1FF329DE"/>
    <w:rsid w:val="1FF82BCF"/>
    <w:rsid w:val="1FF937B7"/>
    <w:rsid w:val="2004072E"/>
    <w:rsid w:val="20073223"/>
    <w:rsid w:val="200A3BB3"/>
    <w:rsid w:val="200C5629"/>
    <w:rsid w:val="200D799B"/>
    <w:rsid w:val="201A617A"/>
    <w:rsid w:val="201B4E69"/>
    <w:rsid w:val="201B5C14"/>
    <w:rsid w:val="201B7FB2"/>
    <w:rsid w:val="201D311C"/>
    <w:rsid w:val="202251F5"/>
    <w:rsid w:val="203A5FA9"/>
    <w:rsid w:val="203C76CA"/>
    <w:rsid w:val="204C4020"/>
    <w:rsid w:val="2051517D"/>
    <w:rsid w:val="20535E9F"/>
    <w:rsid w:val="20612723"/>
    <w:rsid w:val="2067061F"/>
    <w:rsid w:val="20681615"/>
    <w:rsid w:val="206A26F8"/>
    <w:rsid w:val="206C12CC"/>
    <w:rsid w:val="207B1DBD"/>
    <w:rsid w:val="207D069D"/>
    <w:rsid w:val="20887022"/>
    <w:rsid w:val="208A6CE1"/>
    <w:rsid w:val="208C2D42"/>
    <w:rsid w:val="209920CA"/>
    <w:rsid w:val="209B523B"/>
    <w:rsid w:val="209C2EB1"/>
    <w:rsid w:val="209D6A3D"/>
    <w:rsid w:val="20A21E92"/>
    <w:rsid w:val="20A26336"/>
    <w:rsid w:val="20A82567"/>
    <w:rsid w:val="20AF2801"/>
    <w:rsid w:val="20B049B4"/>
    <w:rsid w:val="20B6593D"/>
    <w:rsid w:val="20C41E4C"/>
    <w:rsid w:val="20C75D9C"/>
    <w:rsid w:val="20CD4FA8"/>
    <w:rsid w:val="20D97682"/>
    <w:rsid w:val="20EA0404"/>
    <w:rsid w:val="20EE234D"/>
    <w:rsid w:val="20F91260"/>
    <w:rsid w:val="20FA03EF"/>
    <w:rsid w:val="20FA1CCE"/>
    <w:rsid w:val="21031CB4"/>
    <w:rsid w:val="21036815"/>
    <w:rsid w:val="21056955"/>
    <w:rsid w:val="210D0FDF"/>
    <w:rsid w:val="210E7527"/>
    <w:rsid w:val="21114124"/>
    <w:rsid w:val="21137C26"/>
    <w:rsid w:val="211729BA"/>
    <w:rsid w:val="212804F0"/>
    <w:rsid w:val="212C4CB3"/>
    <w:rsid w:val="21376A24"/>
    <w:rsid w:val="21384AD2"/>
    <w:rsid w:val="21395283"/>
    <w:rsid w:val="213F1FA9"/>
    <w:rsid w:val="21417F3B"/>
    <w:rsid w:val="214208E8"/>
    <w:rsid w:val="21420F06"/>
    <w:rsid w:val="214464AB"/>
    <w:rsid w:val="21557C87"/>
    <w:rsid w:val="216A1EBC"/>
    <w:rsid w:val="216A31FD"/>
    <w:rsid w:val="216F7C81"/>
    <w:rsid w:val="217208EA"/>
    <w:rsid w:val="21835B90"/>
    <w:rsid w:val="218926BE"/>
    <w:rsid w:val="218E09BD"/>
    <w:rsid w:val="21923A03"/>
    <w:rsid w:val="219263AA"/>
    <w:rsid w:val="219404FA"/>
    <w:rsid w:val="21945242"/>
    <w:rsid w:val="21993978"/>
    <w:rsid w:val="21A13250"/>
    <w:rsid w:val="21AB746C"/>
    <w:rsid w:val="21AC71BF"/>
    <w:rsid w:val="21B005DE"/>
    <w:rsid w:val="21B20E53"/>
    <w:rsid w:val="21B24C84"/>
    <w:rsid w:val="21B717F2"/>
    <w:rsid w:val="21C40B02"/>
    <w:rsid w:val="21C83B7A"/>
    <w:rsid w:val="21CC09FE"/>
    <w:rsid w:val="21D01A9C"/>
    <w:rsid w:val="21D41512"/>
    <w:rsid w:val="21DA565B"/>
    <w:rsid w:val="21DE3006"/>
    <w:rsid w:val="21E311DF"/>
    <w:rsid w:val="21E722C6"/>
    <w:rsid w:val="21EF407C"/>
    <w:rsid w:val="21F11323"/>
    <w:rsid w:val="21F32284"/>
    <w:rsid w:val="220124C7"/>
    <w:rsid w:val="220450B7"/>
    <w:rsid w:val="22087C6F"/>
    <w:rsid w:val="220C6EA6"/>
    <w:rsid w:val="221072CF"/>
    <w:rsid w:val="22122C36"/>
    <w:rsid w:val="22145011"/>
    <w:rsid w:val="22161812"/>
    <w:rsid w:val="22205764"/>
    <w:rsid w:val="22225F63"/>
    <w:rsid w:val="222C503A"/>
    <w:rsid w:val="223319FD"/>
    <w:rsid w:val="223631D9"/>
    <w:rsid w:val="223B259E"/>
    <w:rsid w:val="223E1A16"/>
    <w:rsid w:val="22403A77"/>
    <w:rsid w:val="224A1490"/>
    <w:rsid w:val="224B0307"/>
    <w:rsid w:val="224B24E4"/>
    <w:rsid w:val="224C6542"/>
    <w:rsid w:val="224E2864"/>
    <w:rsid w:val="224F7DF7"/>
    <w:rsid w:val="2251747A"/>
    <w:rsid w:val="22525B39"/>
    <w:rsid w:val="225278E7"/>
    <w:rsid w:val="225C0D13"/>
    <w:rsid w:val="226962D7"/>
    <w:rsid w:val="227635D6"/>
    <w:rsid w:val="229323DA"/>
    <w:rsid w:val="229451FC"/>
    <w:rsid w:val="22994653"/>
    <w:rsid w:val="229972C4"/>
    <w:rsid w:val="22A46395"/>
    <w:rsid w:val="22A60284"/>
    <w:rsid w:val="22A7378F"/>
    <w:rsid w:val="22C11A91"/>
    <w:rsid w:val="22C97BAA"/>
    <w:rsid w:val="22CA2509"/>
    <w:rsid w:val="22CF718A"/>
    <w:rsid w:val="22D16A5E"/>
    <w:rsid w:val="22D622C7"/>
    <w:rsid w:val="22D862D6"/>
    <w:rsid w:val="22E65AC5"/>
    <w:rsid w:val="22E67FE5"/>
    <w:rsid w:val="22E804B0"/>
    <w:rsid w:val="22E959DD"/>
    <w:rsid w:val="22F9588A"/>
    <w:rsid w:val="23040ECE"/>
    <w:rsid w:val="23137077"/>
    <w:rsid w:val="23172AF1"/>
    <w:rsid w:val="231A0405"/>
    <w:rsid w:val="231D5A06"/>
    <w:rsid w:val="232241C7"/>
    <w:rsid w:val="232474D6"/>
    <w:rsid w:val="232A6ECD"/>
    <w:rsid w:val="23340AC2"/>
    <w:rsid w:val="233D2346"/>
    <w:rsid w:val="2341411C"/>
    <w:rsid w:val="234D2500"/>
    <w:rsid w:val="235356C5"/>
    <w:rsid w:val="23546717"/>
    <w:rsid w:val="235C6C70"/>
    <w:rsid w:val="235E1C36"/>
    <w:rsid w:val="2364281D"/>
    <w:rsid w:val="236553F8"/>
    <w:rsid w:val="23697FAB"/>
    <w:rsid w:val="236A3923"/>
    <w:rsid w:val="23767DBF"/>
    <w:rsid w:val="237941B8"/>
    <w:rsid w:val="237B69CA"/>
    <w:rsid w:val="2389558B"/>
    <w:rsid w:val="23897339"/>
    <w:rsid w:val="23950796"/>
    <w:rsid w:val="239F040C"/>
    <w:rsid w:val="239F090A"/>
    <w:rsid w:val="23A57CE2"/>
    <w:rsid w:val="23A6613D"/>
    <w:rsid w:val="23B422DE"/>
    <w:rsid w:val="23B51EDC"/>
    <w:rsid w:val="23BF730D"/>
    <w:rsid w:val="23CE026A"/>
    <w:rsid w:val="23D624B1"/>
    <w:rsid w:val="23D72B30"/>
    <w:rsid w:val="23D77D30"/>
    <w:rsid w:val="23EA2DFD"/>
    <w:rsid w:val="23F30C56"/>
    <w:rsid w:val="23FE41B1"/>
    <w:rsid w:val="24044C11"/>
    <w:rsid w:val="24077D75"/>
    <w:rsid w:val="240D1E02"/>
    <w:rsid w:val="241E1F75"/>
    <w:rsid w:val="242F7EE0"/>
    <w:rsid w:val="243E7BBA"/>
    <w:rsid w:val="243F0CE7"/>
    <w:rsid w:val="244428CF"/>
    <w:rsid w:val="2444305E"/>
    <w:rsid w:val="24455956"/>
    <w:rsid w:val="244C26BE"/>
    <w:rsid w:val="244D7C79"/>
    <w:rsid w:val="2452597D"/>
    <w:rsid w:val="2457168F"/>
    <w:rsid w:val="24594F5D"/>
    <w:rsid w:val="245A2A83"/>
    <w:rsid w:val="245C4A4D"/>
    <w:rsid w:val="245E07C6"/>
    <w:rsid w:val="24612A14"/>
    <w:rsid w:val="2466767A"/>
    <w:rsid w:val="246D3214"/>
    <w:rsid w:val="24700890"/>
    <w:rsid w:val="24716BFF"/>
    <w:rsid w:val="24765F0B"/>
    <w:rsid w:val="248724A7"/>
    <w:rsid w:val="24890B84"/>
    <w:rsid w:val="249247CC"/>
    <w:rsid w:val="24926CE9"/>
    <w:rsid w:val="24987A5B"/>
    <w:rsid w:val="24A53F9A"/>
    <w:rsid w:val="24A560B7"/>
    <w:rsid w:val="24A82AC2"/>
    <w:rsid w:val="24AC1531"/>
    <w:rsid w:val="24B14D99"/>
    <w:rsid w:val="24B518B7"/>
    <w:rsid w:val="24BD5E2E"/>
    <w:rsid w:val="24BE74B6"/>
    <w:rsid w:val="24C04FDC"/>
    <w:rsid w:val="24C43EC2"/>
    <w:rsid w:val="24C54654"/>
    <w:rsid w:val="24E0569B"/>
    <w:rsid w:val="24E16D01"/>
    <w:rsid w:val="24E608B9"/>
    <w:rsid w:val="24E6595F"/>
    <w:rsid w:val="24E75C8E"/>
    <w:rsid w:val="24E8008F"/>
    <w:rsid w:val="24EC4978"/>
    <w:rsid w:val="24ED56A6"/>
    <w:rsid w:val="24F91765"/>
    <w:rsid w:val="250909E5"/>
    <w:rsid w:val="25124C23"/>
    <w:rsid w:val="251D5479"/>
    <w:rsid w:val="25205A7B"/>
    <w:rsid w:val="252E1F46"/>
    <w:rsid w:val="25333A00"/>
    <w:rsid w:val="25381ECC"/>
    <w:rsid w:val="253B28B5"/>
    <w:rsid w:val="253E0835"/>
    <w:rsid w:val="25412F88"/>
    <w:rsid w:val="25545725"/>
    <w:rsid w:val="25552E8F"/>
    <w:rsid w:val="25555054"/>
    <w:rsid w:val="25566D9C"/>
    <w:rsid w:val="25601483"/>
    <w:rsid w:val="256716F0"/>
    <w:rsid w:val="25672780"/>
    <w:rsid w:val="256F1472"/>
    <w:rsid w:val="25706566"/>
    <w:rsid w:val="25735506"/>
    <w:rsid w:val="258416DE"/>
    <w:rsid w:val="25873D4C"/>
    <w:rsid w:val="258E36BD"/>
    <w:rsid w:val="2590222C"/>
    <w:rsid w:val="25A14D16"/>
    <w:rsid w:val="25B508B9"/>
    <w:rsid w:val="25B62A12"/>
    <w:rsid w:val="25B9138D"/>
    <w:rsid w:val="25BA26B3"/>
    <w:rsid w:val="25C16620"/>
    <w:rsid w:val="25C40BB1"/>
    <w:rsid w:val="25D25B74"/>
    <w:rsid w:val="25D955D9"/>
    <w:rsid w:val="25DA0ED7"/>
    <w:rsid w:val="25E116AE"/>
    <w:rsid w:val="25E90563"/>
    <w:rsid w:val="25E96A10"/>
    <w:rsid w:val="25F82554"/>
    <w:rsid w:val="26020BEA"/>
    <w:rsid w:val="2607333E"/>
    <w:rsid w:val="26095AAD"/>
    <w:rsid w:val="260A5409"/>
    <w:rsid w:val="260C30AB"/>
    <w:rsid w:val="260E0B6C"/>
    <w:rsid w:val="26120FB9"/>
    <w:rsid w:val="261A2065"/>
    <w:rsid w:val="261F4878"/>
    <w:rsid w:val="26232156"/>
    <w:rsid w:val="26284A30"/>
    <w:rsid w:val="2630482B"/>
    <w:rsid w:val="26307F40"/>
    <w:rsid w:val="263115D8"/>
    <w:rsid w:val="2635037A"/>
    <w:rsid w:val="263C5A4E"/>
    <w:rsid w:val="26434B7C"/>
    <w:rsid w:val="26486E0F"/>
    <w:rsid w:val="264D1FDA"/>
    <w:rsid w:val="264D5D61"/>
    <w:rsid w:val="265618FD"/>
    <w:rsid w:val="26644F69"/>
    <w:rsid w:val="266877EA"/>
    <w:rsid w:val="266F6CBA"/>
    <w:rsid w:val="267371C8"/>
    <w:rsid w:val="26751DF6"/>
    <w:rsid w:val="26806C6A"/>
    <w:rsid w:val="26832765"/>
    <w:rsid w:val="268E3A55"/>
    <w:rsid w:val="26904C75"/>
    <w:rsid w:val="269C0F58"/>
    <w:rsid w:val="269D2467"/>
    <w:rsid w:val="26AB3DC8"/>
    <w:rsid w:val="26B41E2F"/>
    <w:rsid w:val="26B428F2"/>
    <w:rsid w:val="26B57CE1"/>
    <w:rsid w:val="26B772D6"/>
    <w:rsid w:val="26BF4B20"/>
    <w:rsid w:val="26C818C9"/>
    <w:rsid w:val="26C8635B"/>
    <w:rsid w:val="26D044DE"/>
    <w:rsid w:val="26D1392C"/>
    <w:rsid w:val="26D712AB"/>
    <w:rsid w:val="26D7485F"/>
    <w:rsid w:val="26D76C9B"/>
    <w:rsid w:val="26D81683"/>
    <w:rsid w:val="26EA7C92"/>
    <w:rsid w:val="26F609BE"/>
    <w:rsid w:val="26FF5FF2"/>
    <w:rsid w:val="270D5BC1"/>
    <w:rsid w:val="270F76C0"/>
    <w:rsid w:val="27216896"/>
    <w:rsid w:val="272C3131"/>
    <w:rsid w:val="27315D1D"/>
    <w:rsid w:val="27350B40"/>
    <w:rsid w:val="273949E1"/>
    <w:rsid w:val="27395D03"/>
    <w:rsid w:val="273E7938"/>
    <w:rsid w:val="27410C05"/>
    <w:rsid w:val="2749585F"/>
    <w:rsid w:val="274C2ADA"/>
    <w:rsid w:val="275819D5"/>
    <w:rsid w:val="275B723E"/>
    <w:rsid w:val="275D6265"/>
    <w:rsid w:val="2767173F"/>
    <w:rsid w:val="2767601D"/>
    <w:rsid w:val="27685859"/>
    <w:rsid w:val="276F5FE4"/>
    <w:rsid w:val="277E62A4"/>
    <w:rsid w:val="277F0545"/>
    <w:rsid w:val="27807223"/>
    <w:rsid w:val="27823692"/>
    <w:rsid w:val="27835023"/>
    <w:rsid w:val="27865CF0"/>
    <w:rsid w:val="278C2994"/>
    <w:rsid w:val="278E2F40"/>
    <w:rsid w:val="278E3170"/>
    <w:rsid w:val="278E4F1E"/>
    <w:rsid w:val="27A200A7"/>
    <w:rsid w:val="27B136C4"/>
    <w:rsid w:val="27B5619D"/>
    <w:rsid w:val="27B801ED"/>
    <w:rsid w:val="27B92852"/>
    <w:rsid w:val="27BB1A8B"/>
    <w:rsid w:val="27BC230D"/>
    <w:rsid w:val="27C26A1C"/>
    <w:rsid w:val="27C40D6B"/>
    <w:rsid w:val="27CB6172"/>
    <w:rsid w:val="27D75D5F"/>
    <w:rsid w:val="27E21975"/>
    <w:rsid w:val="27E707AB"/>
    <w:rsid w:val="27E70AD2"/>
    <w:rsid w:val="27E72880"/>
    <w:rsid w:val="27EB3C1D"/>
    <w:rsid w:val="27EC60E8"/>
    <w:rsid w:val="27ED5AD6"/>
    <w:rsid w:val="27F116DA"/>
    <w:rsid w:val="27FB13C2"/>
    <w:rsid w:val="280145D0"/>
    <w:rsid w:val="28071641"/>
    <w:rsid w:val="280A2175"/>
    <w:rsid w:val="28131C63"/>
    <w:rsid w:val="281573ED"/>
    <w:rsid w:val="28291017"/>
    <w:rsid w:val="282A7647"/>
    <w:rsid w:val="282B5DDB"/>
    <w:rsid w:val="282C1A49"/>
    <w:rsid w:val="28340698"/>
    <w:rsid w:val="28397580"/>
    <w:rsid w:val="283C3425"/>
    <w:rsid w:val="28447CD2"/>
    <w:rsid w:val="285E30F8"/>
    <w:rsid w:val="28614EA3"/>
    <w:rsid w:val="28701D0A"/>
    <w:rsid w:val="28707C9E"/>
    <w:rsid w:val="28746442"/>
    <w:rsid w:val="2876084E"/>
    <w:rsid w:val="287E752A"/>
    <w:rsid w:val="287F5E76"/>
    <w:rsid w:val="28844573"/>
    <w:rsid w:val="288B4C25"/>
    <w:rsid w:val="288D1679"/>
    <w:rsid w:val="289A15A9"/>
    <w:rsid w:val="289D556B"/>
    <w:rsid w:val="289E2304"/>
    <w:rsid w:val="289E5635"/>
    <w:rsid w:val="28A2389D"/>
    <w:rsid w:val="28AA1AEE"/>
    <w:rsid w:val="28AD1D1C"/>
    <w:rsid w:val="28AE379B"/>
    <w:rsid w:val="28BC753B"/>
    <w:rsid w:val="28BF1A19"/>
    <w:rsid w:val="28CA01D8"/>
    <w:rsid w:val="28CC4A38"/>
    <w:rsid w:val="28D21317"/>
    <w:rsid w:val="28D252DE"/>
    <w:rsid w:val="28D917A2"/>
    <w:rsid w:val="28DC7F0B"/>
    <w:rsid w:val="28E06CD7"/>
    <w:rsid w:val="28E514B5"/>
    <w:rsid w:val="28FB0F36"/>
    <w:rsid w:val="28FC4D95"/>
    <w:rsid w:val="28FC606A"/>
    <w:rsid w:val="29007101"/>
    <w:rsid w:val="290706ED"/>
    <w:rsid w:val="290D3BE7"/>
    <w:rsid w:val="29177195"/>
    <w:rsid w:val="291A7161"/>
    <w:rsid w:val="291C0BD7"/>
    <w:rsid w:val="291C4DC2"/>
    <w:rsid w:val="291C50BE"/>
    <w:rsid w:val="29235B3A"/>
    <w:rsid w:val="292A511A"/>
    <w:rsid w:val="292B1585"/>
    <w:rsid w:val="292C49EE"/>
    <w:rsid w:val="294B7015"/>
    <w:rsid w:val="294D1645"/>
    <w:rsid w:val="29564D71"/>
    <w:rsid w:val="29585F69"/>
    <w:rsid w:val="29595638"/>
    <w:rsid w:val="295E4DC4"/>
    <w:rsid w:val="296323DA"/>
    <w:rsid w:val="29656152"/>
    <w:rsid w:val="296656BC"/>
    <w:rsid w:val="296B3963"/>
    <w:rsid w:val="296F55AB"/>
    <w:rsid w:val="29742734"/>
    <w:rsid w:val="2976210D"/>
    <w:rsid w:val="29782709"/>
    <w:rsid w:val="297B3BC8"/>
    <w:rsid w:val="298035FF"/>
    <w:rsid w:val="29831653"/>
    <w:rsid w:val="29832C3F"/>
    <w:rsid w:val="298563DD"/>
    <w:rsid w:val="29891E41"/>
    <w:rsid w:val="298B5EA8"/>
    <w:rsid w:val="298E3AB4"/>
    <w:rsid w:val="29902D23"/>
    <w:rsid w:val="29A44DBC"/>
    <w:rsid w:val="29B03871"/>
    <w:rsid w:val="29B37EE3"/>
    <w:rsid w:val="29B5086A"/>
    <w:rsid w:val="29B50E88"/>
    <w:rsid w:val="29B570DA"/>
    <w:rsid w:val="29C424A9"/>
    <w:rsid w:val="29C67ABA"/>
    <w:rsid w:val="29CD104F"/>
    <w:rsid w:val="29CE5907"/>
    <w:rsid w:val="29CE5AA6"/>
    <w:rsid w:val="29E277A3"/>
    <w:rsid w:val="29E421E3"/>
    <w:rsid w:val="29E51A4E"/>
    <w:rsid w:val="29EA344E"/>
    <w:rsid w:val="29FB20EA"/>
    <w:rsid w:val="2A005ACD"/>
    <w:rsid w:val="2A0061F9"/>
    <w:rsid w:val="2A056FF2"/>
    <w:rsid w:val="2A075F37"/>
    <w:rsid w:val="2A1423AB"/>
    <w:rsid w:val="2A1F27FE"/>
    <w:rsid w:val="2A2347AB"/>
    <w:rsid w:val="2A2539C5"/>
    <w:rsid w:val="2A2658E2"/>
    <w:rsid w:val="2A27165A"/>
    <w:rsid w:val="2A3012D1"/>
    <w:rsid w:val="2A693732"/>
    <w:rsid w:val="2A6C3AF8"/>
    <w:rsid w:val="2A8020CA"/>
    <w:rsid w:val="2A843F46"/>
    <w:rsid w:val="2A8F19C7"/>
    <w:rsid w:val="2A905451"/>
    <w:rsid w:val="2A970569"/>
    <w:rsid w:val="2A985E2F"/>
    <w:rsid w:val="2AA64C74"/>
    <w:rsid w:val="2AA92EF5"/>
    <w:rsid w:val="2AAF1D7B"/>
    <w:rsid w:val="2AAF4905"/>
    <w:rsid w:val="2AB251C3"/>
    <w:rsid w:val="2AB26E3D"/>
    <w:rsid w:val="2AB26E54"/>
    <w:rsid w:val="2AB461AE"/>
    <w:rsid w:val="2AC305FA"/>
    <w:rsid w:val="2AC42424"/>
    <w:rsid w:val="2AC62D11"/>
    <w:rsid w:val="2ACD2D51"/>
    <w:rsid w:val="2AD61067"/>
    <w:rsid w:val="2ADC05CF"/>
    <w:rsid w:val="2ADD40CF"/>
    <w:rsid w:val="2ADD4158"/>
    <w:rsid w:val="2ADF3CE2"/>
    <w:rsid w:val="2AE632C3"/>
    <w:rsid w:val="2AF06AA1"/>
    <w:rsid w:val="2AF7636C"/>
    <w:rsid w:val="2AF76944"/>
    <w:rsid w:val="2AF8540A"/>
    <w:rsid w:val="2AF900D6"/>
    <w:rsid w:val="2B076DF1"/>
    <w:rsid w:val="2B08148B"/>
    <w:rsid w:val="2B0C3F72"/>
    <w:rsid w:val="2B1E2A5D"/>
    <w:rsid w:val="2B230073"/>
    <w:rsid w:val="2B2535F5"/>
    <w:rsid w:val="2B284078"/>
    <w:rsid w:val="2B2A779C"/>
    <w:rsid w:val="2B432A94"/>
    <w:rsid w:val="2B474541"/>
    <w:rsid w:val="2B487ADA"/>
    <w:rsid w:val="2B4C6D46"/>
    <w:rsid w:val="2B4C7DBC"/>
    <w:rsid w:val="2B4D3EA0"/>
    <w:rsid w:val="2B591CE7"/>
    <w:rsid w:val="2B622AB5"/>
    <w:rsid w:val="2B634913"/>
    <w:rsid w:val="2B754232"/>
    <w:rsid w:val="2B764647"/>
    <w:rsid w:val="2B7E174D"/>
    <w:rsid w:val="2B7E5D28"/>
    <w:rsid w:val="2B816F0D"/>
    <w:rsid w:val="2B8A3837"/>
    <w:rsid w:val="2B8F2549"/>
    <w:rsid w:val="2B98173D"/>
    <w:rsid w:val="2B982AF3"/>
    <w:rsid w:val="2BA016C4"/>
    <w:rsid w:val="2BA92BCF"/>
    <w:rsid w:val="2BA94653"/>
    <w:rsid w:val="2BB67139"/>
    <w:rsid w:val="2BC77CCE"/>
    <w:rsid w:val="2BE07B95"/>
    <w:rsid w:val="2BE315B0"/>
    <w:rsid w:val="2BE4415B"/>
    <w:rsid w:val="2BEC66B7"/>
    <w:rsid w:val="2BF3199B"/>
    <w:rsid w:val="2BF41F57"/>
    <w:rsid w:val="2BF84C3A"/>
    <w:rsid w:val="2C0B258D"/>
    <w:rsid w:val="2C0E3ACA"/>
    <w:rsid w:val="2C190B57"/>
    <w:rsid w:val="2C196B3E"/>
    <w:rsid w:val="2C1C51EE"/>
    <w:rsid w:val="2C1D328F"/>
    <w:rsid w:val="2C20097E"/>
    <w:rsid w:val="2C215307"/>
    <w:rsid w:val="2C245E51"/>
    <w:rsid w:val="2C3C7AB4"/>
    <w:rsid w:val="2C3D520F"/>
    <w:rsid w:val="2C3E1BDD"/>
    <w:rsid w:val="2C45390A"/>
    <w:rsid w:val="2C4C53A8"/>
    <w:rsid w:val="2C504E98"/>
    <w:rsid w:val="2C5A3E42"/>
    <w:rsid w:val="2C5B60D5"/>
    <w:rsid w:val="2C5D7D70"/>
    <w:rsid w:val="2C622CD9"/>
    <w:rsid w:val="2C74089E"/>
    <w:rsid w:val="2C771DC8"/>
    <w:rsid w:val="2C79161C"/>
    <w:rsid w:val="2C7A2B28"/>
    <w:rsid w:val="2C812864"/>
    <w:rsid w:val="2C835265"/>
    <w:rsid w:val="2C8670C6"/>
    <w:rsid w:val="2C882D6A"/>
    <w:rsid w:val="2C8B7F33"/>
    <w:rsid w:val="2C8E776E"/>
    <w:rsid w:val="2C905BD1"/>
    <w:rsid w:val="2C9D5C03"/>
    <w:rsid w:val="2CA43D61"/>
    <w:rsid w:val="2CA465B2"/>
    <w:rsid w:val="2CA60F5C"/>
    <w:rsid w:val="2CAE1BBE"/>
    <w:rsid w:val="2CB8799C"/>
    <w:rsid w:val="2CBC6870"/>
    <w:rsid w:val="2CBE62A5"/>
    <w:rsid w:val="2CBF201D"/>
    <w:rsid w:val="2CC82C80"/>
    <w:rsid w:val="2CC93EE9"/>
    <w:rsid w:val="2CE1035F"/>
    <w:rsid w:val="2CE455E0"/>
    <w:rsid w:val="2CE9138A"/>
    <w:rsid w:val="2CEC6026"/>
    <w:rsid w:val="2CEF0D45"/>
    <w:rsid w:val="2CEF6F21"/>
    <w:rsid w:val="2CF54F71"/>
    <w:rsid w:val="2CFE48F4"/>
    <w:rsid w:val="2D012636"/>
    <w:rsid w:val="2D114C5D"/>
    <w:rsid w:val="2D2B6790"/>
    <w:rsid w:val="2D393B7E"/>
    <w:rsid w:val="2D3A4C79"/>
    <w:rsid w:val="2D3E57C8"/>
    <w:rsid w:val="2D400A01"/>
    <w:rsid w:val="2D49404B"/>
    <w:rsid w:val="2D5A6D17"/>
    <w:rsid w:val="2D687FBF"/>
    <w:rsid w:val="2D690C86"/>
    <w:rsid w:val="2D6C3F53"/>
    <w:rsid w:val="2D7D6B19"/>
    <w:rsid w:val="2D806775"/>
    <w:rsid w:val="2D825525"/>
    <w:rsid w:val="2D963826"/>
    <w:rsid w:val="2D972DBD"/>
    <w:rsid w:val="2DA27433"/>
    <w:rsid w:val="2DB05444"/>
    <w:rsid w:val="2DBB27E5"/>
    <w:rsid w:val="2DC55411"/>
    <w:rsid w:val="2DC668DA"/>
    <w:rsid w:val="2DC90D12"/>
    <w:rsid w:val="2DD855B3"/>
    <w:rsid w:val="2DDD6BFF"/>
    <w:rsid w:val="2DDE4BEB"/>
    <w:rsid w:val="2DE2072E"/>
    <w:rsid w:val="2DE75388"/>
    <w:rsid w:val="2DFE0923"/>
    <w:rsid w:val="2E0E7CFC"/>
    <w:rsid w:val="2E1020BD"/>
    <w:rsid w:val="2E110101"/>
    <w:rsid w:val="2E130673"/>
    <w:rsid w:val="2E136F8F"/>
    <w:rsid w:val="2E184E1D"/>
    <w:rsid w:val="2E1A575D"/>
    <w:rsid w:val="2E200FD9"/>
    <w:rsid w:val="2E293652"/>
    <w:rsid w:val="2E2A1E37"/>
    <w:rsid w:val="2E2C417D"/>
    <w:rsid w:val="2E2F5D4C"/>
    <w:rsid w:val="2E41512F"/>
    <w:rsid w:val="2E4722CA"/>
    <w:rsid w:val="2E4D6C90"/>
    <w:rsid w:val="2E567479"/>
    <w:rsid w:val="2E5A117F"/>
    <w:rsid w:val="2E5D2531"/>
    <w:rsid w:val="2E6162FB"/>
    <w:rsid w:val="2E654654"/>
    <w:rsid w:val="2E731311"/>
    <w:rsid w:val="2E731B6C"/>
    <w:rsid w:val="2E7E4B59"/>
    <w:rsid w:val="2E7F4E23"/>
    <w:rsid w:val="2E861045"/>
    <w:rsid w:val="2E8753E8"/>
    <w:rsid w:val="2E876B6B"/>
    <w:rsid w:val="2E8B665B"/>
    <w:rsid w:val="2E8C7B51"/>
    <w:rsid w:val="2E923A93"/>
    <w:rsid w:val="2E935F88"/>
    <w:rsid w:val="2E941030"/>
    <w:rsid w:val="2E94389C"/>
    <w:rsid w:val="2E9A03B0"/>
    <w:rsid w:val="2E9E1098"/>
    <w:rsid w:val="2EA10830"/>
    <w:rsid w:val="2EB0522E"/>
    <w:rsid w:val="2EB17A79"/>
    <w:rsid w:val="2EC1720C"/>
    <w:rsid w:val="2EC43E94"/>
    <w:rsid w:val="2EC6336C"/>
    <w:rsid w:val="2ECA7985"/>
    <w:rsid w:val="2ED30E2B"/>
    <w:rsid w:val="2ED529B6"/>
    <w:rsid w:val="2ED536CA"/>
    <w:rsid w:val="2ED7396B"/>
    <w:rsid w:val="2EDC58DE"/>
    <w:rsid w:val="2EDD27FA"/>
    <w:rsid w:val="2EE22DB3"/>
    <w:rsid w:val="2EE34360"/>
    <w:rsid w:val="2EE77E2A"/>
    <w:rsid w:val="2EEC43BD"/>
    <w:rsid w:val="2EF22236"/>
    <w:rsid w:val="2F0841EC"/>
    <w:rsid w:val="2F084D9C"/>
    <w:rsid w:val="2F0C49B5"/>
    <w:rsid w:val="2F0D0E1E"/>
    <w:rsid w:val="2F0D5BDD"/>
    <w:rsid w:val="2F0F103A"/>
    <w:rsid w:val="2F171C9D"/>
    <w:rsid w:val="2F177EEF"/>
    <w:rsid w:val="2F2820FC"/>
    <w:rsid w:val="2F291164"/>
    <w:rsid w:val="2F2942BE"/>
    <w:rsid w:val="2F2D034A"/>
    <w:rsid w:val="2F391C13"/>
    <w:rsid w:val="2F3E7229"/>
    <w:rsid w:val="2F3F21D8"/>
    <w:rsid w:val="2F413DE5"/>
    <w:rsid w:val="2F470AE4"/>
    <w:rsid w:val="2F55349B"/>
    <w:rsid w:val="2F5C380D"/>
    <w:rsid w:val="2F5C7E0C"/>
    <w:rsid w:val="2F604BA7"/>
    <w:rsid w:val="2F6173BC"/>
    <w:rsid w:val="2F642A08"/>
    <w:rsid w:val="2F643C71"/>
    <w:rsid w:val="2F6B14B4"/>
    <w:rsid w:val="2F7316DC"/>
    <w:rsid w:val="2F776950"/>
    <w:rsid w:val="2F901DDB"/>
    <w:rsid w:val="2F921632"/>
    <w:rsid w:val="2F927575"/>
    <w:rsid w:val="2F9C63E1"/>
    <w:rsid w:val="2FA31782"/>
    <w:rsid w:val="2FA65B0A"/>
    <w:rsid w:val="2FAA0F50"/>
    <w:rsid w:val="2FAA48BF"/>
    <w:rsid w:val="2FB97F7D"/>
    <w:rsid w:val="2FC7710F"/>
    <w:rsid w:val="2FD45DE0"/>
    <w:rsid w:val="2FD54BF1"/>
    <w:rsid w:val="2FD82060"/>
    <w:rsid w:val="2FD92B29"/>
    <w:rsid w:val="2FDB5708"/>
    <w:rsid w:val="2FE029D7"/>
    <w:rsid w:val="2FE067DB"/>
    <w:rsid w:val="2FE14059"/>
    <w:rsid w:val="2FE25CAC"/>
    <w:rsid w:val="2FE54EFF"/>
    <w:rsid w:val="2FE853E7"/>
    <w:rsid w:val="2FEF0C73"/>
    <w:rsid w:val="2FF11FF8"/>
    <w:rsid w:val="2FF17694"/>
    <w:rsid w:val="2FF607FC"/>
    <w:rsid w:val="2FF81244"/>
    <w:rsid w:val="3002499F"/>
    <w:rsid w:val="3012267F"/>
    <w:rsid w:val="30124D06"/>
    <w:rsid w:val="301252E2"/>
    <w:rsid w:val="30170573"/>
    <w:rsid w:val="30180C91"/>
    <w:rsid w:val="301C3A83"/>
    <w:rsid w:val="301F18EE"/>
    <w:rsid w:val="302032BF"/>
    <w:rsid w:val="30213A5E"/>
    <w:rsid w:val="30230B81"/>
    <w:rsid w:val="3029612C"/>
    <w:rsid w:val="302C6A9B"/>
    <w:rsid w:val="30314154"/>
    <w:rsid w:val="3038532C"/>
    <w:rsid w:val="304765B2"/>
    <w:rsid w:val="304B066B"/>
    <w:rsid w:val="3050232D"/>
    <w:rsid w:val="30596FE9"/>
    <w:rsid w:val="305B5AC7"/>
    <w:rsid w:val="306A5958"/>
    <w:rsid w:val="30890978"/>
    <w:rsid w:val="30895D82"/>
    <w:rsid w:val="308E0AE9"/>
    <w:rsid w:val="30901CCD"/>
    <w:rsid w:val="309537C1"/>
    <w:rsid w:val="309E246E"/>
    <w:rsid w:val="30A13F14"/>
    <w:rsid w:val="30A9442C"/>
    <w:rsid w:val="30AA731B"/>
    <w:rsid w:val="30AF4D78"/>
    <w:rsid w:val="30B17ECF"/>
    <w:rsid w:val="30B41641"/>
    <w:rsid w:val="30BE4139"/>
    <w:rsid w:val="30D54E9E"/>
    <w:rsid w:val="30EB33E1"/>
    <w:rsid w:val="30F535ED"/>
    <w:rsid w:val="30F77FD8"/>
    <w:rsid w:val="30F8045D"/>
    <w:rsid w:val="30FF6E8C"/>
    <w:rsid w:val="31080828"/>
    <w:rsid w:val="31214A99"/>
    <w:rsid w:val="3128316B"/>
    <w:rsid w:val="31316E2D"/>
    <w:rsid w:val="314506B8"/>
    <w:rsid w:val="31492B60"/>
    <w:rsid w:val="314A4C8F"/>
    <w:rsid w:val="315566AB"/>
    <w:rsid w:val="31586F95"/>
    <w:rsid w:val="315C608D"/>
    <w:rsid w:val="316118F5"/>
    <w:rsid w:val="316F0AEE"/>
    <w:rsid w:val="3179279B"/>
    <w:rsid w:val="317E21C4"/>
    <w:rsid w:val="318346DF"/>
    <w:rsid w:val="318D3E35"/>
    <w:rsid w:val="31977C86"/>
    <w:rsid w:val="319B4E07"/>
    <w:rsid w:val="31AF2BC6"/>
    <w:rsid w:val="31B07F51"/>
    <w:rsid w:val="31B646F4"/>
    <w:rsid w:val="31B859B9"/>
    <w:rsid w:val="31BB1CC4"/>
    <w:rsid w:val="31C0486E"/>
    <w:rsid w:val="31C12546"/>
    <w:rsid w:val="31C20A4F"/>
    <w:rsid w:val="31C44F7B"/>
    <w:rsid w:val="31C81004"/>
    <w:rsid w:val="31CB04F8"/>
    <w:rsid w:val="31CE4510"/>
    <w:rsid w:val="31D71BB7"/>
    <w:rsid w:val="31D85C9B"/>
    <w:rsid w:val="31DD19A0"/>
    <w:rsid w:val="31E340C0"/>
    <w:rsid w:val="31E71A25"/>
    <w:rsid w:val="31F219F7"/>
    <w:rsid w:val="31FA75FA"/>
    <w:rsid w:val="31FC3207"/>
    <w:rsid w:val="32073544"/>
    <w:rsid w:val="3209261F"/>
    <w:rsid w:val="320B784A"/>
    <w:rsid w:val="320C360F"/>
    <w:rsid w:val="320D799F"/>
    <w:rsid w:val="321C7241"/>
    <w:rsid w:val="321D581C"/>
    <w:rsid w:val="322A35A0"/>
    <w:rsid w:val="322F37A1"/>
    <w:rsid w:val="32303576"/>
    <w:rsid w:val="32321DDA"/>
    <w:rsid w:val="32333292"/>
    <w:rsid w:val="32382656"/>
    <w:rsid w:val="324E1E79"/>
    <w:rsid w:val="32562ADC"/>
    <w:rsid w:val="325925CC"/>
    <w:rsid w:val="325E7BE3"/>
    <w:rsid w:val="326E6E90"/>
    <w:rsid w:val="326F3B9E"/>
    <w:rsid w:val="32786EF6"/>
    <w:rsid w:val="328E7AE8"/>
    <w:rsid w:val="329C31F7"/>
    <w:rsid w:val="32A01FA9"/>
    <w:rsid w:val="32A97022"/>
    <w:rsid w:val="32B1648A"/>
    <w:rsid w:val="32B46CBE"/>
    <w:rsid w:val="32B85545"/>
    <w:rsid w:val="32B902C1"/>
    <w:rsid w:val="32BC2753"/>
    <w:rsid w:val="32C14BC7"/>
    <w:rsid w:val="32C33F44"/>
    <w:rsid w:val="32C43EEA"/>
    <w:rsid w:val="32C46CB7"/>
    <w:rsid w:val="32C7616D"/>
    <w:rsid w:val="32D01C9C"/>
    <w:rsid w:val="32D10A68"/>
    <w:rsid w:val="32D14858"/>
    <w:rsid w:val="32F72400"/>
    <w:rsid w:val="32F967E0"/>
    <w:rsid w:val="32FD5F11"/>
    <w:rsid w:val="330322AA"/>
    <w:rsid w:val="33095694"/>
    <w:rsid w:val="330A6114"/>
    <w:rsid w:val="330B1B18"/>
    <w:rsid w:val="330F2BC4"/>
    <w:rsid w:val="331F4685"/>
    <w:rsid w:val="331F7372"/>
    <w:rsid w:val="332008FE"/>
    <w:rsid w:val="332C7589"/>
    <w:rsid w:val="3332661B"/>
    <w:rsid w:val="33337D50"/>
    <w:rsid w:val="333746BC"/>
    <w:rsid w:val="333A14F9"/>
    <w:rsid w:val="333B3508"/>
    <w:rsid w:val="333E1734"/>
    <w:rsid w:val="33447797"/>
    <w:rsid w:val="33527F1D"/>
    <w:rsid w:val="3359087C"/>
    <w:rsid w:val="336143E6"/>
    <w:rsid w:val="33677CDA"/>
    <w:rsid w:val="33727DEA"/>
    <w:rsid w:val="3375263C"/>
    <w:rsid w:val="33817485"/>
    <w:rsid w:val="33833DA5"/>
    <w:rsid w:val="33835477"/>
    <w:rsid w:val="3389082C"/>
    <w:rsid w:val="338E3A4A"/>
    <w:rsid w:val="33973AB9"/>
    <w:rsid w:val="339C6C14"/>
    <w:rsid w:val="33A1247D"/>
    <w:rsid w:val="33A4500A"/>
    <w:rsid w:val="33A50B42"/>
    <w:rsid w:val="33A67106"/>
    <w:rsid w:val="33A77E0B"/>
    <w:rsid w:val="33AD24F1"/>
    <w:rsid w:val="33B07C43"/>
    <w:rsid w:val="33BE4F2D"/>
    <w:rsid w:val="33BF6296"/>
    <w:rsid w:val="33C46A0B"/>
    <w:rsid w:val="33C90CE4"/>
    <w:rsid w:val="33CA3FD8"/>
    <w:rsid w:val="33CC2D07"/>
    <w:rsid w:val="33D3338B"/>
    <w:rsid w:val="33D623FF"/>
    <w:rsid w:val="33DB20C0"/>
    <w:rsid w:val="33EE3707"/>
    <w:rsid w:val="33F425AD"/>
    <w:rsid w:val="33FE75DB"/>
    <w:rsid w:val="34004D4D"/>
    <w:rsid w:val="34012F1B"/>
    <w:rsid w:val="34033B9D"/>
    <w:rsid w:val="34076784"/>
    <w:rsid w:val="34117602"/>
    <w:rsid w:val="34120C85"/>
    <w:rsid w:val="341622C6"/>
    <w:rsid w:val="34166AFD"/>
    <w:rsid w:val="341E5417"/>
    <w:rsid w:val="342113B9"/>
    <w:rsid w:val="34247D36"/>
    <w:rsid w:val="342729CF"/>
    <w:rsid w:val="342A4220"/>
    <w:rsid w:val="342C61EA"/>
    <w:rsid w:val="34367069"/>
    <w:rsid w:val="343D5635"/>
    <w:rsid w:val="344D6161"/>
    <w:rsid w:val="344E352D"/>
    <w:rsid w:val="344F0F47"/>
    <w:rsid w:val="34514978"/>
    <w:rsid w:val="34580D8D"/>
    <w:rsid w:val="345813FA"/>
    <w:rsid w:val="34586FDF"/>
    <w:rsid w:val="34596A03"/>
    <w:rsid w:val="34621C0C"/>
    <w:rsid w:val="346C73F0"/>
    <w:rsid w:val="346E0913"/>
    <w:rsid w:val="34725828"/>
    <w:rsid w:val="34732836"/>
    <w:rsid w:val="347B3FF3"/>
    <w:rsid w:val="348A1F83"/>
    <w:rsid w:val="348A42AD"/>
    <w:rsid w:val="348B7AA2"/>
    <w:rsid w:val="34913726"/>
    <w:rsid w:val="34A76B4F"/>
    <w:rsid w:val="34B25444"/>
    <w:rsid w:val="34B62F94"/>
    <w:rsid w:val="34CC5068"/>
    <w:rsid w:val="34CE1050"/>
    <w:rsid w:val="34D6375E"/>
    <w:rsid w:val="34D70A35"/>
    <w:rsid w:val="34DE6A87"/>
    <w:rsid w:val="34DF325D"/>
    <w:rsid w:val="34E46AC5"/>
    <w:rsid w:val="34E84D7B"/>
    <w:rsid w:val="34EB021C"/>
    <w:rsid w:val="34FA779B"/>
    <w:rsid w:val="350264C2"/>
    <w:rsid w:val="350C5EBC"/>
    <w:rsid w:val="35101668"/>
    <w:rsid w:val="351176B1"/>
    <w:rsid w:val="35193614"/>
    <w:rsid w:val="351D1FD7"/>
    <w:rsid w:val="35205A10"/>
    <w:rsid w:val="35260AD6"/>
    <w:rsid w:val="35327830"/>
    <w:rsid w:val="3535400F"/>
    <w:rsid w:val="353A1E3E"/>
    <w:rsid w:val="353D0442"/>
    <w:rsid w:val="35445071"/>
    <w:rsid w:val="354D5A0F"/>
    <w:rsid w:val="3550415A"/>
    <w:rsid w:val="355A28E3"/>
    <w:rsid w:val="35651371"/>
    <w:rsid w:val="35764D08"/>
    <w:rsid w:val="35773940"/>
    <w:rsid w:val="357C07BE"/>
    <w:rsid w:val="35867D30"/>
    <w:rsid w:val="359434B6"/>
    <w:rsid w:val="35950804"/>
    <w:rsid w:val="3598340C"/>
    <w:rsid w:val="359D0A22"/>
    <w:rsid w:val="359D109A"/>
    <w:rsid w:val="35BA5F09"/>
    <w:rsid w:val="35BA7826"/>
    <w:rsid w:val="35BC0E25"/>
    <w:rsid w:val="35C3492C"/>
    <w:rsid w:val="35C5293E"/>
    <w:rsid w:val="35C74D7D"/>
    <w:rsid w:val="35CF17B6"/>
    <w:rsid w:val="35D703D8"/>
    <w:rsid w:val="35F775D8"/>
    <w:rsid w:val="35FE7713"/>
    <w:rsid w:val="36010FB1"/>
    <w:rsid w:val="36035195"/>
    <w:rsid w:val="360C278F"/>
    <w:rsid w:val="360F6D3B"/>
    <w:rsid w:val="361103E0"/>
    <w:rsid w:val="36167923"/>
    <w:rsid w:val="361A5840"/>
    <w:rsid w:val="361F255E"/>
    <w:rsid w:val="36237179"/>
    <w:rsid w:val="362906B1"/>
    <w:rsid w:val="362A03A5"/>
    <w:rsid w:val="362A50C3"/>
    <w:rsid w:val="362C0724"/>
    <w:rsid w:val="36320DB0"/>
    <w:rsid w:val="3639183D"/>
    <w:rsid w:val="36401AD9"/>
    <w:rsid w:val="364305E8"/>
    <w:rsid w:val="364315C9"/>
    <w:rsid w:val="36467F1C"/>
    <w:rsid w:val="36476648"/>
    <w:rsid w:val="364C0E31"/>
    <w:rsid w:val="36691CB9"/>
    <w:rsid w:val="366C4B1A"/>
    <w:rsid w:val="36702251"/>
    <w:rsid w:val="36737550"/>
    <w:rsid w:val="367602CF"/>
    <w:rsid w:val="367918BA"/>
    <w:rsid w:val="36832CE1"/>
    <w:rsid w:val="36883487"/>
    <w:rsid w:val="368C11C2"/>
    <w:rsid w:val="368D5766"/>
    <w:rsid w:val="36A07FDD"/>
    <w:rsid w:val="36A57CAE"/>
    <w:rsid w:val="36A84578"/>
    <w:rsid w:val="36A858D0"/>
    <w:rsid w:val="36AC33DB"/>
    <w:rsid w:val="36B161AB"/>
    <w:rsid w:val="36B54AD0"/>
    <w:rsid w:val="36C267BB"/>
    <w:rsid w:val="36C546D4"/>
    <w:rsid w:val="36D87F64"/>
    <w:rsid w:val="36D93CDC"/>
    <w:rsid w:val="36E0506A"/>
    <w:rsid w:val="36EE6E1F"/>
    <w:rsid w:val="36EF52AD"/>
    <w:rsid w:val="36F524CC"/>
    <w:rsid w:val="37054AD1"/>
    <w:rsid w:val="370728ED"/>
    <w:rsid w:val="37084796"/>
    <w:rsid w:val="370C2303"/>
    <w:rsid w:val="37185B16"/>
    <w:rsid w:val="37215DAE"/>
    <w:rsid w:val="37256F21"/>
    <w:rsid w:val="37292BE0"/>
    <w:rsid w:val="372A4537"/>
    <w:rsid w:val="372C7957"/>
    <w:rsid w:val="372E2279"/>
    <w:rsid w:val="372E5E32"/>
    <w:rsid w:val="37303FB5"/>
    <w:rsid w:val="37335AE2"/>
    <w:rsid w:val="37377B8C"/>
    <w:rsid w:val="37383879"/>
    <w:rsid w:val="37394F42"/>
    <w:rsid w:val="374750E9"/>
    <w:rsid w:val="374F6B69"/>
    <w:rsid w:val="37552E1B"/>
    <w:rsid w:val="37590712"/>
    <w:rsid w:val="375D203C"/>
    <w:rsid w:val="376A2CE2"/>
    <w:rsid w:val="376E6B1A"/>
    <w:rsid w:val="37860C96"/>
    <w:rsid w:val="378A5959"/>
    <w:rsid w:val="3797236E"/>
    <w:rsid w:val="37976B78"/>
    <w:rsid w:val="37977E1F"/>
    <w:rsid w:val="37995875"/>
    <w:rsid w:val="37A65062"/>
    <w:rsid w:val="37B369C5"/>
    <w:rsid w:val="37B539A1"/>
    <w:rsid w:val="37B83209"/>
    <w:rsid w:val="37C7723F"/>
    <w:rsid w:val="37DA75D9"/>
    <w:rsid w:val="37E60293"/>
    <w:rsid w:val="37E61B3B"/>
    <w:rsid w:val="37E626D6"/>
    <w:rsid w:val="37ED7794"/>
    <w:rsid w:val="37F039D3"/>
    <w:rsid w:val="37F61C5D"/>
    <w:rsid w:val="37F8728B"/>
    <w:rsid w:val="380127BB"/>
    <w:rsid w:val="38075C13"/>
    <w:rsid w:val="38076C54"/>
    <w:rsid w:val="380F2FCD"/>
    <w:rsid w:val="38130EDF"/>
    <w:rsid w:val="381511BB"/>
    <w:rsid w:val="3820320F"/>
    <w:rsid w:val="38213B8C"/>
    <w:rsid w:val="3834566E"/>
    <w:rsid w:val="38437269"/>
    <w:rsid w:val="384A4E91"/>
    <w:rsid w:val="384A6F98"/>
    <w:rsid w:val="384D1770"/>
    <w:rsid w:val="385775AE"/>
    <w:rsid w:val="38591578"/>
    <w:rsid w:val="38606463"/>
    <w:rsid w:val="3861453E"/>
    <w:rsid w:val="386159CC"/>
    <w:rsid w:val="38633075"/>
    <w:rsid w:val="386F66A6"/>
    <w:rsid w:val="38757AE9"/>
    <w:rsid w:val="387E0DBB"/>
    <w:rsid w:val="3897158C"/>
    <w:rsid w:val="38A212F5"/>
    <w:rsid w:val="38A2606E"/>
    <w:rsid w:val="38A327F3"/>
    <w:rsid w:val="38A33402"/>
    <w:rsid w:val="38A67647"/>
    <w:rsid w:val="38AA1DD4"/>
    <w:rsid w:val="38AA3B82"/>
    <w:rsid w:val="38AD702E"/>
    <w:rsid w:val="38AF73EA"/>
    <w:rsid w:val="38B15E3F"/>
    <w:rsid w:val="38C06D77"/>
    <w:rsid w:val="38C622CB"/>
    <w:rsid w:val="38CC1D4A"/>
    <w:rsid w:val="38D26D9D"/>
    <w:rsid w:val="38DB703E"/>
    <w:rsid w:val="38DE7FD9"/>
    <w:rsid w:val="38E10073"/>
    <w:rsid w:val="38E2331B"/>
    <w:rsid w:val="38E517BF"/>
    <w:rsid w:val="38E721E4"/>
    <w:rsid w:val="38E928FC"/>
    <w:rsid w:val="38F046AC"/>
    <w:rsid w:val="38F66DC7"/>
    <w:rsid w:val="3905525C"/>
    <w:rsid w:val="3906161C"/>
    <w:rsid w:val="3914549F"/>
    <w:rsid w:val="39180AEB"/>
    <w:rsid w:val="391B23ED"/>
    <w:rsid w:val="39207A21"/>
    <w:rsid w:val="39242A3F"/>
    <w:rsid w:val="39280C90"/>
    <w:rsid w:val="392B600C"/>
    <w:rsid w:val="392C2C98"/>
    <w:rsid w:val="392E7677"/>
    <w:rsid w:val="393C009E"/>
    <w:rsid w:val="393F4408"/>
    <w:rsid w:val="39496117"/>
    <w:rsid w:val="39510E68"/>
    <w:rsid w:val="395C08DA"/>
    <w:rsid w:val="39633BA5"/>
    <w:rsid w:val="39664942"/>
    <w:rsid w:val="3968081F"/>
    <w:rsid w:val="3978155A"/>
    <w:rsid w:val="39795C97"/>
    <w:rsid w:val="397F0B6A"/>
    <w:rsid w:val="398053DF"/>
    <w:rsid w:val="398A611A"/>
    <w:rsid w:val="398A7546"/>
    <w:rsid w:val="398E22BF"/>
    <w:rsid w:val="399A0125"/>
    <w:rsid w:val="39A13205"/>
    <w:rsid w:val="39AA7653"/>
    <w:rsid w:val="39B2551A"/>
    <w:rsid w:val="39B933D1"/>
    <w:rsid w:val="39C93FC4"/>
    <w:rsid w:val="39CC3F98"/>
    <w:rsid w:val="39E316F4"/>
    <w:rsid w:val="39E66E3B"/>
    <w:rsid w:val="39EA4607"/>
    <w:rsid w:val="39EB2EA9"/>
    <w:rsid w:val="39EE2B9C"/>
    <w:rsid w:val="39F01D64"/>
    <w:rsid w:val="39F33306"/>
    <w:rsid w:val="39F9277A"/>
    <w:rsid w:val="3A067D06"/>
    <w:rsid w:val="3A1A4D37"/>
    <w:rsid w:val="3A23064C"/>
    <w:rsid w:val="3A233BEC"/>
    <w:rsid w:val="3A2A4F7A"/>
    <w:rsid w:val="3A2F24F1"/>
    <w:rsid w:val="3A3000B7"/>
    <w:rsid w:val="3A306963"/>
    <w:rsid w:val="3A313DDF"/>
    <w:rsid w:val="3A35677F"/>
    <w:rsid w:val="3A3710A5"/>
    <w:rsid w:val="3A375897"/>
    <w:rsid w:val="3A3A3E41"/>
    <w:rsid w:val="3A3C6741"/>
    <w:rsid w:val="3A486991"/>
    <w:rsid w:val="3A4A1B45"/>
    <w:rsid w:val="3A4C3F46"/>
    <w:rsid w:val="3A4E6AE9"/>
    <w:rsid w:val="3A5033FB"/>
    <w:rsid w:val="3A5704D9"/>
    <w:rsid w:val="3A5914C5"/>
    <w:rsid w:val="3A5E63DD"/>
    <w:rsid w:val="3A612966"/>
    <w:rsid w:val="3A614548"/>
    <w:rsid w:val="3A677445"/>
    <w:rsid w:val="3A6822BB"/>
    <w:rsid w:val="3A6B5720"/>
    <w:rsid w:val="3A751F6D"/>
    <w:rsid w:val="3A76018F"/>
    <w:rsid w:val="3A7A4F22"/>
    <w:rsid w:val="3A860F9F"/>
    <w:rsid w:val="3A8758B4"/>
    <w:rsid w:val="3A9151FF"/>
    <w:rsid w:val="3A96589A"/>
    <w:rsid w:val="3AA8308D"/>
    <w:rsid w:val="3AB11DF5"/>
    <w:rsid w:val="3ACF2ECE"/>
    <w:rsid w:val="3AD2413A"/>
    <w:rsid w:val="3AD703F3"/>
    <w:rsid w:val="3AD71D29"/>
    <w:rsid w:val="3AD924FC"/>
    <w:rsid w:val="3AE90BF0"/>
    <w:rsid w:val="3AEA2F09"/>
    <w:rsid w:val="3AEE43B1"/>
    <w:rsid w:val="3AF17846"/>
    <w:rsid w:val="3AF227D9"/>
    <w:rsid w:val="3AFF7C7A"/>
    <w:rsid w:val="3B007A89"/>
    <w:rsid w:val="3B0372CE"/>
    <w:rsid w:val="3B071AA9"/>
    <w:rsid w:val="3B0B2373"/>
    <w:rsid w:val="3B0E38EB"/>
    <w:rsid w:val="3B0F56E5"/>
    <w:rsid w:val="3B191832"/>
    <w:rsid w:val="3B26147C"/>
    <w:rsid w:val="3B2C047E"/>
    <w:rsid w:val="3B3360B0"/>
    <w:rsid w:val="3B343F0D"/>
    <w:rsid w:val="3B373776"/>
    <w:rsid w:val="3B407437"/>
    <w:rsid w:val="3B4200A1"/>
    <w:rsid w:val="3B516536"/>
    <w:rsid w:val="3B542176"/>
    <w:rsid w:val="3B561EA3"/>
    <w:rsid w:val="3B5E1ABA"/>
    <w:rsid w:val="3B5E5669"/>
    <w:rsid w:val="3B626996"/>
    <w:rsid w:val="3B726021"/>
    <w:rsid w:val="3B7609AD"/>
    <w:rsid w:val="3B767011"/>
    <w:rsid w:val="3B787F67"/>
    <w:rsid w:val="3B7A5D36"/>
    <w:rsid w:val="3B7B5397"/>
    <w:rsid w:val="3B842929"/>
    <w:rsid w:val="3B847696"/>
    <w:rsid w:val="3B903948"/>
    <w:rsid w:val="3B910B3A"/>
    <w:rsid w:val="3B9339FF"/>
    <w:rsid w:val="3B992AF8"/>
    <w:rsid w:val="3B9A5542"/>
    <w:rsid w:val="3B9C637B"/>
    <w:rsid w:val="3B9C7D1C"/>
    <w:rsid w:val="3B9F72A2"/>
    <w:rsid w:val="3BA904B4"/>
    <w:rsid w:val="3BAF282A"/>
    <w:rsid w:val="3BBA1124"/>
    <w:rsid w:val="3BC14E83"/>
    <w:rsid w:val="3BC55931"/>
    <w:rsid w:val="3BC643D6"/>
    <w:rsid w:val="3BD35082"/>
    <w:rsid w:val="3BD65C6F"/>
    <w:rsid w:val="3BDD7DCA"/>
    <w:rsid w:val="3BDE5965"/>
    <w:rsid w:val="3BE24E3B"/>
    <w:rsid w:val="3BE64ED1"/>
    <w:rsid w:val="3BEC3935"/>
    <w:rsid w:val="3BF50A23"/>
    <w:rsid w:val="3BF8516B"/>
    <w:rsid w:val="3BFF7F2A"/>
    <w:rsid w:val="3C0E1CD8"/>
    <w:rsid w:val="3C1062F1"/>
    <w:rsid w:val="3C12011B"/>
    <w:rsid w:val="3C121956"/>
    <w:rsid w:val="3C1A61C1"/>
    <w:rsid w:val="3C334F54"/>
    <w:rsid w:val="3C34310A"/>
    <w:rsid w:val="3C371BD0"/>
    <w:rsid w:val="3C3D089C"/>
    <w:rsid w:val="3C43474B"/>
    <w:rsid w:val="3C47404C"/>
    <w:rsid w:val="3C4C0BA8"/>
    <w:rsid w:val="3C4F5139"/>
    <w:rsid w:val="3C4F6F1A"/>
    <w:rsid w:val="3C601127"/>
    <w:rsid w:val="3C6401DC"/>
    <w:rsid w:val="3C643F1E"/>
    <w:rsid w:val="3C7442A9"/>
    <w:rsid w:val="3C7814CA"/>
    <w:rsid w:val="3C797AF3"/>
    <w:rsid w:val="3C91791C"/>
    <w:rsid w:val="3C956B01"/>
    <w:rsid w:val="3C984029"/>
    <w:rsid w:val="3C9E3276"/>
    <w:rsid w:val="3CA001A3"/>
    <w:rsid w:val="3CA031F7"/>
    <w:rsid w:val="3CA209B6"/>
    <w:rsid w:val="3CB04785"/>
    <w:rsid w:val="3CB07F16"/>
    <w:rsid w:val="3CBA7116"/>
    <w:rsid w:val="3CD24EA2"/>
    <w:rsid w:val="3CD43C71"/>
    <w:rsid w:val="3CEF6DF8"/>
    <w:rsid w:val="3CFD6976"/>
    <w:rsid w:val="3D0B7E75"/>
    <w:rsid w:val="3D145453"/>
    <w:rsid w:val="3D270896"/>
    <w:rsid w:val="3D285477"/>
    <w:rsid w:val="3D2C6741"/>
    <w:rsid w:val="3D3603C9"/>
    <w:rsid w:val="3D38450A"/>
    <w:rsid w:val="3D411393"/>
    <w:rsid w:val="3D5C5C82"/>
    <w:rsid w:val="3D5E5F1C"/>
    <w:rsid w:val="3D606F05"/>
    <w:rsid w:val="3D695A86"/>
    <w:rsid w:val="3D725CAE"/>
    <w:rsid w:val="3D7A3A1E"/>
    <w:rsid w:val="3D7B053E"/>
    <w:rsid w:val="3D7E1CE8"/>
    <w:rsid w:val="3D7F2A86"/>
    <w:rsid w:val="3D807EFF"/>
    <w:rsid w:val="3D8C2D91"/>
    <w:rsid w:val="3D8D0252"/>
    <w:rsid w:val="3D8E3A72"/>
    <w:rsid w:val="3D963CC3"/>
    <w:rsid w:val="3D98321F"/>
    <w:rsid w:val="3D9B1CEB"/>
    <w:rsid w:val="3D9D1F07"/>
    <w:rsid w:val="3DA13472"/>
    <w:rsid w:val="3DA23079"/>
    <w:rsid w:val="3DA93E99"/>
    <w:rsid w:val="3DAC6A92"/>
    <w:rsid w:val="3DB30891"/>
    <w:rsid w:val="3DBA2C97"/>
    <w:rsid w:val="3DC0737E"/>
    <w:rsid w:val="3DC26694"/>
    <w:rsid w:val="3DC51E47"/>
    <w:rsid w:val="3DC76F84"/>
    <w:rsid w:val="3DCD4CDA"/>
    <w:rsid w:val="3DD32C78"/>
    <w:rsid w:val="3DD41B3D"/>
    <w:rsid w:val="3DD57D5C"/>
    <w:rsid w:val="3DD8271E"/>
    <w:rsid w:val="3DDA0783"/>
    <w:rsid w:val="3DEA666E"/>
    <w:rsid w:val="3DEB4A20"/>
    <w:rsid w:val="3DEC64FC"/>
    <w:rsid w:val="3DF1010B"/>
    <w:rsid w:val="3DF17B5D"/>
    <w:rsid w:val="3DF23BBB"/>
    <w:rsid w:val="3DF30D40"/>
    <w:rsid w:val="3DF7762B"/>
    <w:rsid w:val="3DFA1107"/>
    <w:rsid w:val="3E080242"/>
    <w:rsid w:val="3E104487"/>
    <w:rsid w:val="3E1413C8"/>
    <w:rsid w:val="3E1A5025"/>
    <w:rsid w:val="3E28673A"/>
    <w:rsid w:val="3E3C1720"/>
    <w:rsid w:val="3E526699"/>
    <w:rsid w:val="3E52756F"/>
    <w:rsid w:val="3E530817"/>
    <w:rsid w:val="3E594080"/>
    <w:rsid w:val="3E642A25"/>
    <w:rsid w:val="3E66679D"/>
    <w:rsid w:val="3E73782B"/>
    <w:rsid w:val="3E77221A"/>
    <w:rsid w:val="3E7F0B6A"/>
    <w:rsid w:val="3E832EAB"/>
    <w:rsid w:val="3E926D60"/>
    <w:rsid w:val="3E9422FD"/>
    <w:rsid w:val="3E9B1907"/>
    <w:rsid w:val="3E9F7BF5"/>
    <w:rsid w:val="3EA15C6C"/>
    <w:rsid w:val="3EA81412"/>
    <w:rsid w:val="3EAC3271"/>
    <w:rsid w:val="3EAD0069"/>
    <w:rsid w:val="3EBC2EE1"/>
    <w:rsid w:val="3EC14E6E"/>
    <w:rsid w:val="3EC91EC9"/>
    <w:rsid w:val="3ECA6D2C"/>
    <w:rsid w:val="3ECC6F83"/>
    <w:rsid w:val="3ED74FA5"/>
    <w:rsid w:val="3EDA5670"/>
    <w:rsid w:val="3EDC25BB"/>
    <w:rsid w:val="3EDD5EAC"/>
    <w:rsid w:val="3EDF57CC"/>
    <w:rsid w:val="3EE462D5"/>
    <w:rsid w:val="3EEA2D47"/>
    <w:rsid w:val="3EEB2E9C"/>
    <w:rsid w:val="3EED2ADA"/>
    <w:rsid w:val="3EED2E30"/>
    <w:rsid w:val="3EED47C8"/>
    <w:rsid w:val="3EEE6481"/>
    <w:rsid w:val="3EFD5D7C"/>
    <w:rsid w:val="3EFE448A"/>
    <w:rsid w:val="3F057D64"/>
    <w:rsid w:val="3F062A53"/>
    <w:rsid w:val="3F06511F"/>
    <w:rsid w:val="3F081602"/>
    <w:rsid w:val="3F086945"/>
    <w:rsid w:val="3F10773B"/>
    <w:rsid w:val="3F171845"/>
    <w:rsid w:val="3F19736B"/>
    <w:rsid w:val="3F20621D"/>
    <w:rsid w:val="3F2C52F0"/>
    <w:rsid w:val="3F370409"/>
    <w:rsid w:val="3F3A3181"/>
    <w:rsid w:val="3F422D66"/>
    <w:rsid w:val="3F4304D9"/>
    <w:rsid w:val="3F466049"/>
    <w:rsid w:val="3F473D96"/>
    <w:rsid w:val="3F6A7BC7"/>
    <w:rsid w:val="3F7416E6"/>
    <w:rsid w:val="3F7E02C8"/>
    <w:rsid w:val="3F7F2060"/>
    <w:rsid w:val="3F8223AA"/>
    <w:rsid w:val="3F890995"/>
    <w:rsid w:val="3F8A05A2"/>
    <w:rsid w:val="3F8F587F"/>
    <w:rsid w:val="3F944305"/>
    <w:rsid w:val="3F966636"/>
    <w:rsid w:val="3F9C5C5D"/>
    <w:rsid w:val="3F9D61EE"/>
    <w:rsid w:val="3F9E24E4"/>
    <w:rsid w:val="3F9E59A5"/>
    <w:rsid w:val="3FA32122"/>
    <w:rsid w:val="3FAA090B"/>
    <w:rsid w:val="3FB35F57"/>
    <w:rsid w:val="3FB41B53"/>
    <w:rsid w:val="3FCA71DA"/>
    <w:rsid w:val="3FD70866"/>
    <w:rsid w:val="3FE43465"/>
    <w:rsid w:val="3FE77469"/>
    <w:rsid w:val="3FEB51AC"/>
    <w:rsid w:val="3FEC57EC"/>
    <w:rsid w:val="3FF027C2"/>
    <w:rsid w:val="3FF27B76"/>
    <w:rsid w:val="3FF720C4"/>
    <w:rsid w:val="40044A86"/>
    <w:rsid w:val="400C6ED0"/>
    <w:rsid w:val="400E614C"/>
    <w:rsid w:val="401203C8"/>
    <w:rsid w:val="40173C3B"/>
    <w:rsid w:val="40176267"/>
    <w:rsid w:val="401C4AEF"/>
    <w:rsid w:val="40215FDA"/>
    <w:rsid w:val="402556CC"/>
    <w:rsid w:val="402D5DC0"/>
    <w:rsid w:val="402F67CE"/>
    <w:rsid w:val="404579E8"/>
    <w:rsid w:val="40466C07"/>
    <w:rsid w:val="40490124"/>
    <w:rsid w:val="404B2E8C"/>
    <w:rsid w:val="40505211"/>
    <w:rsid w:val="40526229"/>
    <w:rsid w:val="40556AC9"/>
    <w:rsid w:val="405C36C8"/>
    <w:rsid w:val="405C795E"/>
    <w:rsid w:val="405D1F03"/>
    <w:rsid w:val="406C5B9C"/>
    <w:rsid w:val="40704C2D"/>
    <w:rsid w:val="40732AD3"/>
    <w:rsid w:val="407C22A8"/>
    <w:rsid w:val="407D110C"/>
    <w:rsid w:val="407D7E05"/>
    <w:rsid w:val="4082687B"/>
    <w:rsid w:val="408A206D"/>
    <w:rsid w:val="408E5B37"/>
    <w:rsid w:val="408F46DB"/>
    <w:rsid w:val="40976AD9"/>
    <w:rsid w:val="40A2662A"/>
    <w:rsid w:val="40A86016"/>
    <w:rsid w:val="40AE159F"/>
    <w:rsid w:val="40BA4EE6"/>
    <w:rsid w:val="40BC4596"/>
    <w:rsid w:val="40BC7B6F"/>
    <w:rsid w:val="40C1308E"/>
    <w:rsid w:val="40C61981"/>
    <w:rsid w:val="40D242B9"/>
    <w:rsid w:val="40D432EA"/>
    <w:rsid w:val="40DC7B55"/>
    <w:rsid w:val="40E3163F"/>
    <w:rsid w:val="40EB716F"/>
    <w:rsid w:val="40F714D5"/>
    <w:rsid w:val="40F8458F"/>
    <w:rsid w:val="40F97444"/>
    <w:rsid w:val="40F97EBF"/>
    <w:rsid w:val="40FC5C65"/>
    <w:rsid w:val="41022E1E"/>
    <w:rsid w:val="410514C1"/>
    <w:rsid w:val="410E2F60"/>
    <w:rsid w:val="410F499F"/>
    <w:rsid w:val="41105050"/>
    <w:rsid w:val="4115722E"/>
    <w:rsid w:val="411C1395"/>
    <w:rsid w:val="412070D7"/>
    <w:rsid w:val="41260850"/>
    <w:rsid w:val="41295908"/>
    <w:rsid w:val="412F1DE7"/>
    <w:rsid w:val="413606A8"/>
    <w:rsid w:val="413C35BD"/>
    <w:rsid w:val="413D410D"/>
    <w:rsid w:val="4140157C"/>
    <w:rsid w:val="41413E14"/>
    <w:rsid w:val="414525AA"/>
    <w:rsid w:val="414B7B6F"/>
    <w:rsid w:val="415D5089"/>
    <w:rsid w:val="416449E5"/>
    <w:rsid w:val="41660D30"/>
    <w:rsid w:val="41674836"/>
    <w:rsid w:val="41682005"/>
    <w:rsid w:val="4168282C"/>
    <w:rsid w:val="4170343C"/>
    <w:rsid w:val="4171348E"/>
    <w:rsid w:val="41780A18"/>
    <w:rsid w:val="417E7959"/>
    <w:rsid w:val="419329F4"/>
    <w:rsid w:val="419D3D70"/>
    <w:rsid w:val="41A3670E"/>
    <w:rsid w:val="41A87A59"/>
    <w:rsid w:val="41AC2719"/>
    <w:rsid w:val="41AE2F70"/>
    <w:rsid w:val="41B01E08"/>
    <w:rsid w:val="41B576C9"/>
    <w:rsid w:val="41C26322"/>
    <w:rsid w:val="41C43363"/>
    <w:rsid w:val="41D23DA8"/>
    <w:rsid w:val="41D66FC3"/>
    <w:rsid w:val="41DA4EFC"/>
    <w:rsid w:val="41E0460F"/>
    <w:rsid w:val="41E8771B"/>
    <w:rsid w:val="41EF5565"/>
    <w:rsid w:val="41EF6B5C"/>
    <w:rsid w:val="41F12821"/>
    <w:rsid w:val="41FF6CEC"/>
    <w:rsid w:val="42043FC7"/>
    <w:rsid w:val="42073DF3"/>
    <w:rsid w:val="4208073C"/>
    <w:rsid w:val="42187419"/>
    <w:rsid w:val="421D53C4"/>
    <w:rsid w:val="422C3859"/>
    <w:rsid w:val="42365F67"/>
    <w:rsid w:val="423675E2"/>
    <w:rsid w:val="42485C43"/>
    <w:rsid w:val="4249440B"/>
    <w:rsid w:val="424C1672"/>
    <w:rsid w:val="424C383E"/>
    <w:rsid w:val="42507548"/>
    <w:rsid w:val="425A1474"/>
    <w:rsid w:val="425C413F"/>
    <w:rsid w:val="426052B1"/>
    <w:rsid w:val="42605473"/>
    <w:rsid w:val="42611755"/>
    <w:rsid w:val="4262727B"/>
    <w:rsid w:val="4269244C"/>
    <w:rsid w:val="426A2339"/>
    <w:rsid w:val="426D3E09"/>
    <w:rsid w:val="42714E86"/>
    <w:rsid w:val="4273286A"/>
    <w:rsid w:val="42750829"/>
    <w:rsid w:val="42756FAE"/>
    <w:rsid w:val="42852538"/>
    <w:rsid w:val="428A778D"/>
    <w:rsid w:val="428C42F8"/>
    <w:rsid w:val="4293108F"/>
    <w:rsid w:val="429531AD"/>
    <w:rsid w:val="429B584B"/>
    <w:rsid w:val="42B4772B"/>
    <w:rsid w:val="42B8554C"/>
    <w:rsid w:val="42BC698B"/>
    <w:rsid w:val="42BD407C"/>
    <w:rsid w:val="42BF1E51"/>
    <w:rsid w:val="42BF46AE"/>
    <w:rsid w:val="42C7049C"/>
    <w:rsid w:val="42D261AF"/>
    <w:rsid w:val="42D33CE7"/>
    <w:rsid w:val="42DB0C90"/>
    <w:rsid w:val="42F42AD1"/>
    <w:rsid w:val="42F56341"/>
    <w:rsid w:val="430018A7"/>
    <w:rsid w:val="43085E83"/>
    <w:rsid w:val="430C1500"/>
    <w:rsid w:val="431146AB"/>
    <w:rsid w:val="43160791"/>
    <w:rsid w:val="43177D86"/>
    <w:rsid w:val="43204C40"/>
    <w:rsid w:val="43234AE0"/>
    <w:rsid w:val="432A1CAA"/>
    <w:rsid w:val="432F5158"/>
    <w:rsid w:val="4335660D"/>
    <w:rsid w:val="43391117"/>
    <w:rsid w:val="433F75C5"/>
    <w:rsid w:val="434035A0"/>
    <w:rsid w:val="4341665F"/>
    <w:rsid w:val="43454BD3"/>
    <w:rsid w:val="435B0BAF"/>
    <w:rsid w:val="436B0266"/>
    <w:rsid w:val="43745C29"/>
    <w:rsid w:val="43770B04"/>
    <w:rsid w:val="437B6846"/>
    <w:rsid w:val="437F06EE"/>
    <w:rsid w:val="438F6D42"/>
    <w:rsid w:val="439330B1"/>
    <w:rsid w:val="43993170"/>
    <w:rsid w:val="43AB10B9"/>
    <w:rsid w:val="43B302AC"/>
    <w:rsid w:val="43B74111"/>
    <w:rsid w:val="43B77FF0"/>
    <w:rsid w:val="43BC6F2F"/>
    <w:rsid w:val="43BE56FA"/>
    <w:rsid w:val="43C619D8"/>
    <w:rsid w:val="43C87442"/>
    <w:rsid w:val="43D23F8D"/>
    <w:rsid w:val="43D242A7"/>
    <w:rsid w:val="43D47BAE"/>
    <w:rsid w:val="43D561DF"/>
    <w:rsid w:val="43D80DC6"/>
    <w:rsid w:val="43DB5169"/>
    <w:rsid w:val="43F21712"/>
    <w:rsid w:val="43F73391"/>
    <w:rsid w:val="43F94B6B"/>
    <w:rsid w:val="43FC657C"/>
    <w:rsid w:val="4400325F"/>
    <w:rsid w:val="440F51E1"/>
    <w:rsid w:val="441B3904"/>
    <w:rsid w:val="441F7B8B"/>
    <w:rsid w:val="442273B7"/>
    <w:rsid w:val="44255848"/>
    <w:rsid w:val="443A563E"/>
    <w:rsid w:val="443D378C"/>
    <w:rsid w:val="444617B2"/>
    <w:rsid w:val="444C5858"/>
    <w:rsid w:val="44514EDA"/>
    <w:rsid w:val="445412FF"/>
    <w:rsid w:val="44544A76"/>
    <w:rsid w:val="44590106"/>
    <w:rsid w:val="445B726C"/>
    <w:rsid w:val="445D1882"/>
    <w:rsid w:val="445D31EE"/>
    <w:rsid w:val="445F3A72"/>
    <w:rsid w:val="446432B9"/>
    <w:rsid w:val="446438A1"/>
    <w:rsid w:val="446A2365"/>
    <w:rsid w:val="446B4FEB"/>
    <w:rsid w:val="447E7B01"/>
    <w:rsid w:val="44890AEF"/>
    <w:rsid w:val="44925E36"/>
    <w:rsid w:val="4496320C"/>
    <w:rsid w:val="449B6027"/>
    <w:rsid w:val="44A43747"/>
    <w:rsid w:val="44A8366B"/>
    <w:rsid w:val="44AF68AE"/>
    <w:rsid w:val="44BA665B"/>
    <w:rsid w:val="44C85ABB"/>
    <w:rsid w:val="44C923DE"/>
    <w:rsid w:val="44D02C4E"/>
    <w:rsid w:val="44D07D4A"/>
    <w:rsid w:val="44D41B17"/>
    <w:rsid w:val="44D84046"/>
    <w:rsid w:val="44DE20FB"/>
    <w:rsid w:val="44DE5E0D"/>
    <w:rsid w:val="44DF2E05"/>
    <w:rsid w:val="44E45A2F"/>
    <w:rsid w:val="44E623E5"/>
    <w:rsid w:val="44E74103"/>
    <w:rsid w:val="44E80FED"/>
    <w:rsid w:val="44E87F0C"/>
    <w:rsid w:val="44FC7513"/>
    <w:rsid w:val="44FD01A6"/>
    <w:rsid w:val="44FE2636"/>
    <w:rsid w:val="44FF1BC2"/>
    <w:rsid w:val="45064611"/>
    <w:rsid w:val="450D212B"/>
    <w:rsid w:val="451505D5"/>
    <w:rsid w:val="451E392D"/>
    <w:rsid w:val="451F1BBD"/>
    <w:rsid w:val="453B23B7"/>
    <w:rsid w:val="453C3092"/>
    <w:rsid w:val="454443AC"/>
    <w:rsid w:val="45477D00"/>
    <w:rsid w:val="45483813"/>
    <w:rsid w:val="45573249"/>
    <w:rsid w:val="456854AB"/>
    <w:rsid w:val="456F5F37"/>
    <w:rsid w:val="4576716A"/>
    <w:rsid w:val="45791538"/>
    <w:rsid w:val="457E423D"/>
    <w:rsid w:val="457E617A"/>
    <w:rsid w:val="457F5331"/>
    <w:rsid w:val="458C1452"/>
    <w:rsid w:val="459278CD"/>
    <w:rsid w:val="4594599D"/>
    <w:rsid w:val="459A4D4A"/>
    <w:rsid w:val="459B4F7E"/>
    <w:rsid w:val="459D162B"/>
    <w:rsid w:val="459E2A00"/>
    <w:rsid w:val="45A81449"/>
    <w:rsid w:val="45AE54CB"/>
    <w:rsid w:val="45AE7747"/>
    <w:rsid w:val="45AE794C"/>
    <w:rsid w:val="45B326F2"/>
    <w:rsid w:val="45BA299D"/>
    <w:rsid w:val="45C27390"/>
    <w:rsid w:val="45C5380C"/>
    <w:rsid w:val="45C9102E"/>
    <w:rsid w:val="45CC5137"/>
    <w:rsid w:val="45D60869"/>
    <w:rsid w:val="45DF2B75"/>
    <w:rsid w:val="45E95185"/>
    <w:rsid w:val="45F13525"/>
    <w:rsid w:val="45F2762F"/>
    <w:rsid w:val="460D1A6F"/>
    <w:rsid w:val="46116FEE"/>
    <w:rsid w:val="46144D30"/>
    <w:rsid w:val="461D5993"/>
    <w:rsid w:val="462036D5"/>
    <w:rsid w:val="46236D21"/>
    <w:rsid w:val="46241486"/>
    <w:rsid w:val="46276812"/>
    <w:rsid w:val="4629431C"/>
    <w:rsid w:val="46297D9D"/>
    <w:rsid w:val="46322137"/>
    <w:rsid w:val="46323D4A"/>
    <w:rsid w:val="46386C71"/>
    <w:rsid w:val="46392D0F"/>
    <w:rsid w:val="463B050F"/>
    <w:rsid w:val="463F70EB"/>
    <w:rsid w:val="46443C20"/>
    <w:rsid w:val="46495A3F"/>
    <w:rsid w:val="464B599D"/>
    <w:rsid w:val="464B7389"/>
    <w:rsid w:val="46565F7A"/>
    <w:rsid w:val="465A4F2F"/>
    <w:rsid w:val="465F1532"/>
    <w:rsid w:val="46623CAD"/>
    <w:rsid w:val="46623CEE"/>
    <w:rsid w:val="4669264E"/>
    <w:rsid w:val="466D1222"/>
    <w:rsid w:val="46703E0C"/>
    <w:rsid w:val="46903A7F"/>
    <w:rsid w:val="469D6AD4"/>
    <w:rsid w:val="469E3D64"/>
    <w:rsid w:val="469E66E7"/>
    <w:rsid w:val="46A00003"/>
    <w:rsid w:val="46A32281"/>
    <w:rsid w:val="46A576FA"/>
    <w:rsid w:val="46B12CFE"/>
    <w:rsid w:val="46B547C6"/>
    <w:rsid w:val="46BF4422"/>
    <w:rsid w:val="46CC7551"/>
    <w:rsid w:val="46CD7201"/>
    <w:rsid w:val="46CE3131"/>
    <w:rsid w:val="46D73753"/>
    <w:rsid w:val="46D9789E"/>
    <w:rsid w:val="46DD15C6"/>
    <w:rsid w:val="46E33C9B"/>
    <w:rsid w:val="46E85D28"/>
    <w:rsid w:val="46EB70BD"/>
    <w:rsid w:val="46F210A5"/>
    <w:rsid w:val="46F96400"/>
    <w:rsid w:val="470A208B"/>
    <w:rsid w:val="470E1780"/>
    <w:rsid w:val="470E6630"/>
    <w:rsid w:val="47176886"/>
    <w:rsid w:val="47185450"/>
    <w:rsid w:val="471E2287"/>
    <w:rsid w:val="47261B04"/>
    <w:rsid w:val="47262CD6"/>
    <w:rsid w:val="472C19F7"/>
    <w:rsid w:val="472C4845"/>
    <w:rsid w:val="473531B0"/>
    <w:rsid w:val="473E7B3D"/>
    <w:rsid w:val="474F45E0"/>
    <w:rsid w:val="47555600"/>
    <w:rsid w:val="47584820"/>
    <w:rsid w:val="4762523B"/>
    <w:rsid w:val="47631ACB"/>
    <w:rsid w:val="477607D1"/>
    <w:rsid w:val="47814968"/>
    <w:rsid w:val="47897144"/>
    <w:rsid w:val="47AB0ABF"/>
    <w:rsid w:val="47AE61B6"/>
    <w:rsid w:val="47AF4964"/>
    <w:rsid w:val="47B81C7B"/>
    <w:rsid w:val="47B916EB"/>
    <w:rsid w:val="47C02435"/>
    <w:rsid w:val="47C57B8B"/>
    <w:rsid w:val="47CC4241"/>
    <w:rsid w:val="47D429C9"/>
    <w:rsid w:val="47D77DC3"/>
    <w:rsid w:val="47D86B65"/>
    <w:rsid w:val="47DE73B4"/>
    <w:rsid w:val="47E05A40"/>
    <w:rsid w:val="47E10C42"/>
    <w:rsid w:val="47E162B5"/>
    <w:rsid w:val="47EA096E"/>
    <w:rsid w:val="47F44E19"/>
    <w:rsid w:val="47FD2ABE"/>
    <w:rsid w:val="480768FB"/>
    <w:rsid w:val="480A1AB2"/>
    <w:rsid w:val="480F3A01"/>
    <w:rsid w:val="48124F71"/>
    <w:rsid w:val="481D497E"/>
    <w:rsid w:val="482A0177"/>
    <w:rsid w:val="482A4397"/>
    <w:rsid w:val="483048AA"/>
    <w:rsid w:val="48313DAE"/>
    <w:rsid w:val="4838239E"/>
    <w:rsid w:val="483836CB"/>
    <w:rsid w:val="483B4D22"/>
    <w:rsid w:val="483D056E"/>
    <w:rsid w:val="4845656A"/>
    <w:rsid w:val="485338EE"/>
    <w:rsid w:val="4864152C"/>
    <w:rsid w:val="486929F8"/>
    <w:rsid w:val="486B23D3"/>
    <w:rsid w:val="486C0E54"/>
    <w:rsid w:val="48710218"/>
    <w:rsid w:val="48751F37"/>
    <w:rsid w:val="487F0430"/>
    <w:rsid w:val="4880045B"/>
    <w:rsid w:val="48855559"/>
    <w:rsid w:val="488E2EF1"/>
    <w:rsid w:val="48952158"/>
    <w:rsid w:val="48984A1F"/>
    <w:rsid w:val="48A44C18"/>
    <w:rsid w:val="48A91A84"/>
    <w:rsid w:val="48AB61C0"/>
    <w:rsid w:val="48AC4C78"/>
    <w:rsid w:val="48B84BA0"/>
    <w:rsid w:val="48BE17C2"/>
    <w:rsid w:val="48BF5639"/>
    <w:rsid w:val="48C20A52"/>
    <w:rsid w:val="48C742DC"/>
    <w:rsid w:val="48CA1D69"/>
    <w:rsid w:val="48DA5DBD"/>
    <w:rsid w:val="48DC7D87"/>
    <w:rsid w:val="48E01C51"/>
    <w:rsid w:val="48FC3A3F"/>
    <w:rsid w:val="490B41C9"/>
    <w:rsid w:val="490F11D2"/>
    <w:rsid w:val="491017DF"/>
    <w:rsid w:val="4910358D"/>
    <w:rsid w:val="49141902"/>
    <w:rsid w:val="49193FEE"/>
    <w:rsid w:val="492D57AE"/>
    <w:rsid w:val="49423962"/>
    <w:rsid w:val="494871CB"/>
    <w:rsid w:val="4950479E"/>
    <w:rsid w:val="49553EA5"/>
    <w:rsid w:val="496423E2"/>
    <w:rsid w:val="49675177"/>
    <w:rsid w:val="4968786D"/>
    <w:rsid w:val="49695393"/>
    <w:rsid w:val="49752441"/>
    <w:rsid w:val="497E6651"/>
    <w:rsid w:val="498777F6"/>
    <w:rsid w:val="49886043"/>
    <w:rsid w:val="498A1C38"/>
    <w:rsid w:val="498C5596"/>
    <w:rsid w:val="49917475"/>
    <w:rsid w:val="49975A5C"/>
    <w:rsid w:val="49991F48"/>
    <w:rsid w:val="49A77A72"/>
    <w:rsid w:val="49AB59AC"/>
    <w:rsid w:val="49AD702E"/>
    <w:rsid w:val="49B20AE8"/>
    <w:rsid w:val="49B22D26"/>
    <w:rsid w:val="49B2476E"/>
    <w:rsid w:val="49B57842"/>
    <w:rsid w:val="49C432F3"/>
    <w:rsid w:val="49C808C6"/>
    <w:rsid w:val="49CA4972"/>
    <w:rsid w:val="49CF1E7A"/>
    <w:rsid w:val="49D538F8"/>
    <w:rsid w:val="49D62A28"/>
    <w:rsid w:val="49DC5B65"/>
    <w:rsid w:val="49DD4675"/>
    <w:rsid w:val="49E2286F"/>
    <w:rsid w:val="49FD1A21"/>
    <w:rsid w:val="4A01737A"/>
    <w:rsid w:val="4A085641"/>
    <w:rsid w:val="4A0D1A53"/>
    <w:rsid w:val="4A147BFA"/>
    <w:rsid w:val="4A190B67"/>
    <w:rsid w:val="4A1B043B"/>
    <w:rsid w:val="4A1B6E46"/>
    <w:rsid w:val="4A200F16"/>
    <w:rsid w:val="4A2031B7"/>
    <w:rsid w:val="4A2F4A96"/>
    <w:rsid w:val="4A365275"/>
    <w:rsid w:val="4A3659B5"/>
    <w:rsid w:val="4A4161EC"/>
    <w:rsid w:val="4A426667"/>
    <w:rsid w:val="4A4655BE"/>
    <w:rsid w:val="4A4C3761"/>
    <w:rsid w:val="4A4D0DC4"/>
    <w:rsid w:val="4A4D264E"/>
    <w:rsid w:val="4A4F62B5"/>
    <w:rsid w:val="4A5029D6"/>
    <w:rsid w:val="4A5643EC"/>
    <w:rsid w:val="4A661A2F"/>
    <w:rsid w:val="4A6A13C3"/>
    <w:rsid w:val="4A6D4A0F"/>
    <w:rsid w:val="4A713BA9"/>
    <w:rsid w:val="4A7B296A"/>
    <w:rsid w:val="4A8C063F"/>
    <w:rsid w:val="4A8E2BB7"/>
    <w:rsid w:val="4A8F4ED0"/>
    <w:rsid w:val="4A94575B"/>
    <w:rsid w:val="4A965D14"/>
    <w:rsid w:val="4A9941A1"/>
    <w:rsid w:val="4A9B332A"/>
    <w:rsid w:val="4AB171F4"/>
    <w:rsid w:val="4ABC5536"/>
    <w:rsid w:val="4ABF34BD"/>
    <w:rsid w:val="4AC07235"/>
    <w:rsid w:val="4AC134A2"/>
    <w:rsid w:val="4AC60528"/>
    <w:rsid w:val="4AD76A6D"/>
    <w:rsid w:val="4ADA20A4"/>
    <w:rsid w:val="4AE42F23"/>
    <w:rsid w:val="4AF10804"/>
    <w:rsid w:val="4B044C48"/>
    <w:rsid w:val="4B0559AF"/>
    <w:rsid w:val="4B133808"/>
    <w:rsid w:val="4B19631A"/>
    <w:rsid w:val="4B1C4005"/>
    <w:rsid w:val="4B2137DC"/>
    <w:rsid w:val="4B2A62DF"/>
    <w:rsid w:val="4B2B4BFE"/>
    <w:rsid w:val="4B2D633B"/>
    <w:rsid w:val="4B2E419E"/>
    <w:rsid w:val="4B3234D6"/>
    <w:rsid w:val="4B32541C"/>
    <w:rsid w:val="4B38326F"/>
    <w:rsid w:val="4B385506"/>
    <w:rsid w:val="4B3B78E8"/>
    <w:rsid w:val="4B3F45FD"/>
    <w:rsid w:val="4B514D71"/>
    <w:rsid w:val="4B571947"/>
    <w:rsid w:val="4B577B99"/>
    <w:rsid w:val="4B6422B6"/>
    <w:rsid w:val="4B652ED0"/>
    <w:rsid w:val="4B653633"/>
    <w:rsid w:val="4B715E70"/>
    <w:rsid w:val="4B7324F9"/>
    <w:rsid w:val="4B7C7600"/>
    <w:rsid w:val="4B83273C"/>
    <w:rsid w:val="4B9438CE"/>
    <w:rsid w:val="4B95246F"/>
    <w:rsid w:val="4B98234D"/>
    <w:rsid w:val="4BA356C8"/>
    <w:rsid w:val="4BA64C84"/>
    <w:rsid w:val="4BAD5A0B"/>
    <w:rsid w:val="4BBC4101"/>
    <w:rsid w:val="4BBE598F"/>
    <w:rsid w:val="4BC01F9A"/>
    <w:rsid w:val="4BCB63D4"/>
    <w:rsid w:val="4BCC28EE"/>
    <w:rsid w:val="4BD50ABE"/>
    <w:rsid w:val="4BD9235C"/>
    <w:rsid w:val="4BE0407D"/>
    <w:rsid w:val="4BE57D72"/>
    <w:rsid w:val="4BFE6267"/>
    <w:rsid w:val="4C143DA5"/>
    <w:rsid w:val="4C20166C"/>
    <w:rsid w:val="4C206CA4"/>
    <w:rsid w:val="4C21117C"/>
    <w:rsid w:val="4C2425DC"/>
    <w:rsid w:val="4C246312"/>
    <w:rsid w:val="4C2941A0"/>
    <w:rsid w:val="4C2E4187"/>
    <w:rsid w:val="4C371748"/>
    <w:rsid w:val="4C447F29"/>
    <w:rsid w:val="4C4B0D80"/>
    <w:rsid w:val="4C5233DE"/>
    <w:rsid w:val="4C5C77C5"/>
    <w:rsid w:val="4C640317"/>
    <w:rsid w:val="4C67573F"/>
    <w:rsid w:val="4C6A1041"/>
    <w:rsid w:val="4C6C5FE9"/>
    <w:rsid w:val="4C8675A5"/>
    <w:rsid w:val="4C8A546D"/>
    <w:rsid w:val="4C8F07E6"/>
    <w:rsid w:val="4C9444D5"/>
    <w:rsid w:val="4C96649F"/>
    <w:rsid w:val="4C982217"/>
    <w:rsid w:val="4C9E5360"/>
    <w:rsid w:val="4CA931EC"/>
    <w:rsid w:val="4CA95379"/>
    <w:rsid w:val="4CAF7A39"/>
    <w:rsid w:val="4CB22BAD"/>
    <w:rsid w:val="4CC618B5"/>
    <w:rsid w:val="4CD62D3F"/>
    <w:rsid w:val="4CDC0F90"/>
    <w:rsid w:val="4CE04C71"/>
    <w:rsid w:val="4CEB0506"/>
    <w:rsid w:val="4CEC2563"/>
    <w:rsid w:val="4CF1405D"/>
    <w:rsid w:val="4CF91037"/>
    <w:rsid w:val="4CFA2AA4"/>
    <w:rsid w:val="4D0A29E9"/>
    <w:rsid w:val="4D197444"/>
    <w:rsid w:val="4D1E3C95"/>
    <w:rsid w:val="4D1E475A"/>
    <w:rsid w:val="4D23459A"/>
    <w:rsid w:val="4D24362E"/>
    <w:rsid w:val="4D265A75"/>
    <w:rsid w:val="4D2917F3"/>
    <w:rsid w:val="4D2A6BE7"/>
    <w:rsid w:val="4D2D38A2"/>
    <w:rsid w:val="4D3246AC"/>
    <w:rsid w:val="4D3767C0"/>
    <w:rsid w:val="4D386DC7"/>
    <w:rsid w:val="4D422183"/>
    <w:rsid w:val="4D4653E6"/>
    <w:rsid w:val="4D5037C6"/>
    <w:rsid w:val="4D56763C"/>
    <w:rsid w:val="4D6041D6"/>
    <w:rsid w:val="4D625C76"/>
    <w:rsid w:val="4D662315"/>
    <w:rsid w:val="4D6828D6"/>
    <w:rsid w:val="4D711ADB"/>
    <w:rsid w:val="4D7834AD"/>
    <w:rsid w:val="4D7C75C5"/>
    <w:rsid w:val="4D814A59"/>
    <w:rsid w:val="4D8269ED"/>
    <w:rsid w:val="4D8A2545"/>
    <w:rsid w:val="4D8C09C8"/>
    <w:rsid w:val="4D904369"/>
    <w:rsid w:val="4D905CFB"/>
    <w:rsid w:val="4D940AEB"/>
    <w:rsid w:val="4DA150FB"/>
    <w:rsid w:val="4DA64CBD"/>
    <w:rsid w:val="4DA90454"/>
    <w:rsid w:val="4DB52F66"/>
    <w:rsid w:val="4DB64488"/>
    <w:rsid w:val="4DB74A9B"/>
    <w:rsid w:val="4DC76E58"/>
    <w:rsid w:val="4DCC2B7D"/>
    <w:rsid w:val="4DCC44B6"/>
    <w:rsid w:val="4DCF05E3"/>
    <w:rsid w:val="4DCF0643"/>
    <w:rsid w:val="4DDC643D"/>
    <w:rsid w:val="4DE30054"/>
    <w:rsid w:val="4DE81FD3"/>
    <w:rsid w:val="4DE91A84"/>
    <w:rsid w:val="4DEA01D7"/>
    <w:rsid w:val="4DED20EF"/>
    <w:rsid w:val="4DEE4026"/>
    <w:rsid w:val="4DF811EF"/>
    <w:rsid w:val="4E016FBE"/>
    <w:rsid w:val="4E0256F8"/>
    <w:rsid w:val="4E1314D9"/>
    <w:rsid w:val="4E1D092F"/>
    <w:rsid w:val="4E281379"/>
    <w:rsid w:val="4E36798D"/>
    <w:rsid w:val="4E44535A"/>
    <w:rsid w:val="4E4B2EFF"/>
    <w:rsid w:val="4E5403AC"/>
    <w:rsid w:val="4E5E123E"/>
    <w:rsid w:val="4E5F1751"/>
    <w:rsid w:val="4E5F5B06"/>
    <w:rsid w:val="4E754D5A"/>
    <w:rsid w:val="4E774305"/>
    <w:rsid w:val="4E866A46"/>
    <w:rsid w:val="4E872543"/>
    <w:rsid w:val="4E8D38D2"/>
    <w:rsid w:val="4E9538D7"/>
    <w:rsid w:val="4E9A7938"/>
    <w:rsid w:val="4E9F44FB"/>
    <w:rsid w:val="4EA65A07"/>
    <w:rsid w:val="4EA97A1F"/>
    <w:rsid w:val="4EAF1A9A"/>
    <w:rsid w:val="4EB26E94"/>
    <w:rsid w:val="4EB329FB"/>
    <w:rsid w:val="4EB40E5E"/>
    <w:rsid w:val="4EB62E28"/>
    <w:rsid w:val="4EB91DBD"/>
    <w:rsid w:val="4EBF2C5E"/>
    <w:rsid w:val="4EBF4024"/>
    <w:rsid w:val="4ED85A4B"/>
    <w:rsid w:val="4EDE4562"/>
    <w:rsid w:val="4EE171B0"/>
    <w:rsid w:val="4EE437FD"/>
    <w:rsid w:val="4EEE70A9"/>
    <w:rsid w:val="4EF442B6"/>
    <w:rsid w:val="4EF86972"/>
    <w:rsid w:val="4EFA3C71"/>
    <w:rsid w:val="4EFC6155"/>
    <w:rsid w:val="4EFD2805"/>
    <w:rsid w:val="4F0A5386"/>
    <w:rsid w:val="4F135B85"/>
    <w:rsid w:val="4F146096"/>
    <w:rsid w:val="4F1562D9"/>
    <w:rsid w:val="4F195165"/>
    <w:rsid w:val="4F1D5A08"/>
    <w:rsid w:val="4F367AC5"/>
    <w:rsid w:val="4F3C4032"/>
    <w:rsid w:val="4F436DA7"/>
    <w:rsid w:val="4F467447"/>
    <w:rsid w:val="4F484E33"/>
    <w:rsid w:val="4F4A3571"/>
    <w:rsid w:val="4F4B0E44"/>
    <w:rsid w:val="4F4F0F4A"/>
    <w:rsid w:val="4F5D14F6"/>
    <w:rsid w:val="4F5D5052"/>
    <w:rsid w:val="4F601956"/>
    <w:rsid w:val="4F636A49"/>
    <w:rsid w:val="4F654D1F"/>
    <w:rsid w:val="4F6B1084"/>
    <w:rsid w:val="4F745D6E"/>
    <w:rsid w:val="4F753A21"/>
    <w:rsid w:val="4F813436"/>
    <w:rsid w:val="4F842375"/>
    <w:rsid w:val="4F8627FB"/>
    <w:rsid w:val="4F8722C2"/>
    <w:rsid w:val="4F8F2E8A"/>
    <w:rsid w:val="4F911547"/>
    <w:rsid w:val="4F9610B1"/>
    <w:rsid w:val="4FA94C63"/>
    <w:rsid w:val="4FAF10E7"/>
    <w:rsid w:val="4FB22C2A"/>
    <w:rsid w:val="4FBC5266"/>
    <w:rsid w:val="4FC3122E"/>
    <w:rsid w:val="4FC43514"/>
    <w:rsid w:val="4FD01CC8"/>
    <w:rsid w:val="4FD33EA3"/>
    <w:rsid w:val="4FD76B83"/>
    <w:rsid w:val="4FD80B7D"/>
    <w:rsid w:val="4FDD48FF"/>
    <w:rsid w:val="4FE0787A"/>
    <w:rsid w:val="4FED5937"/>
    <w:rsid w:val="4FED6BF6"/>
    <w:rsid w:val="4FEE4C43"/>
    <w:rsid w:val="4FEF0DD9"/>
    <w:rsid w:val="4FF86E80"/>
    <w:rsid w:val="4FFA15D6"/>
    <w:rsid w:val="4FFA2AD2"/>
    <w:rsid w:val="4FFA76ED"/>
    <w:rsid w:val="4FFD113E"/>
    <w:rsid w:val="4FFD3084"/>
    <w:rsid w:val="500A25DD"/>
    <w:rsid w:val="500B5937"/>
    <w:rsid w:val="50132D16"/>
    <w:rsid w:val="5015592D"/>
    <w:rsid w:val="502160B9"/>
    <w:rsid w:val="502B560B"/>
    <w:rsid w:val="502C2D69"/>
    <w:rsid w:val="503A3375"/>
    <w:rsid w:val="50543127"/>
    <w:rsid w:val="50590892"/>
    <w:rsid w:val="505E1DF5"/>
    <w:rsid w:val="505F69D6"/>
    <w:rsid w:val="506871B7"/>
    <w:rsid w:val="506E6BED"/>
    <w:rsid w:val="50743E4F"/>
    <w:rsid w:val="507E6154"/>
    <w:rsid w:val="50830DCB"/>
    <w:rsid w:val="50903205"/>
    <w:rsid w:val="509100E3"/>
    <w:rsid w:val="509D44B5"/>
    <w:rsid w:val="509E79C6"/>
    <w:rsid w:val="50A40353"/>
    <w:rsid w:val="50A83C92"/>
    <w:rsid w:val="50B5508A"/>
    <w:rsid w:val="50B769E4"/>
    <w:rsid w:val="50CA59D2"/>
    <w:rsid w:val="50D220E4"/>
    <w:rsid w:val="50D531EC"/>
    <w:rsid w:val="50D852D8"/>
    <w:rsid w:val="50DD4213"/>
    <w:rsid w:val="50DF049B"/>
    <w:rsid w:val="50E07B05"/>
    <w:rsid w:val="50E7551B"/>
    <w:rsid w:val="50E9059A"/>
    <w:rsid w:val="50EA7B41"/>
    <w:rsid w:val="50EF7DEA"/>
    <w:rsid w:val="50F33EC0"/>
    <w:rsid w:val="50F86586"/>
    <w:rsid w:val="51035766"/>
    <w:rsid w:val="5108663B"/>
    <w:rsid w:val="510979B6"/>
    <w:rsid w:val="5118442F"/>
    <w:rsid w:val="51213B39"/>
    <w:rsid w:val="51257DF2"/>
    <w:rsid w:val="512C2F2E"/>
    <w:rsid w:val="513052A0"/>
    <w:rsid w:val="514D2920"/>
    <w:rsid w:val="514E32FA"/>
    <w:rsid w:val="51592BA6"/>
    <w:rsid w:val="515B3813"/>
    <w:rsid w:val="51627D23"/>
    <w:rsid w:val="51764AF1"/>
    <w:rsid w:val="51830B9E"/>
    <w:rsid w:val="5187285A"/>
    <w:rsid w:val="51904189"/>
    <w:rsid w:val="51907961"/>
    <w:rsid w:val="51930E93"/>
    <w:rsid w:val="519572F7"/>
    <w:rsid w:val="519D207E"/>
    <w:rsid w:val="519D3E2C"/>
    <w:rsid w:val="51A358D6"/>
    <w:rsid w:val="51AC406F"/>
    <w:rsid w:val="51B01310"/>
    <w:rsid w:val="51B7313F"/>
    <w:rsid w:val="51CC4711"/>
    <w:rsid w:val="51D81308"/>
    <w:rsid w:val="51D92606"/>
    <w:rsid w:val="51E95BEF"/>
    <w:rsid w:val="51F36142"/>
    <w:rsid w:val="52035A1F"/>
    <w:rsid w:val="52083A0E"/>
    <w:rsid w:val="520B75ED"/>
    <w:rsid w:val="520F49BE"/>
    <w:rsid w:val="52113CCD"/>
    <w:rsid w:val="522270C4"/>
    <w:rsid w:val="52234321"/>
    <w:rsid w:val="522B0F73"/>
    <w:rsid w:val="523849D3"/>
    <w:rsid w:val="52385A1B"/>
    <w:rsid w:val="52476615"/>
    <w:rsid w:val="524F24AA"/>
    <w:rsid w:val="524F5AD7"/>
    <w:rsid w:val="525070F0"/>
    <w:rsid w:val="52543F84"/>
    <w:rsid w:val="525C7A5B"/>
    <w:rsid w:val="52666914"/>
    <w:rsid w:val="526A6404"/>
    <w:rsid w:val="526F5493"/>
    <w:rsid w:val="52796491"/>
    <w:rsid w:val="528043F6"/>
    <w:rsid w:val="528101C5"/>
    <w:rsid w:val="52867BE0"/>
    <w:rsid w:val="52881287"/>
    <w:rsid w:val="528D3D0D"/>
    <w:rsid w:val="52902F0A"/>
    <w:rsid w:val="5290580C"/>
    <w:rsid w:val="5292555D"/>
    <w:rsid w:val="529A65BD"/>
    <w:rsid w:val="529B7A17"/>
    <w:rsid w:val="529C4F01"/>
    <w:rsid w:val="529E42FF"/>
    <w:rsid w:val="52A15B9E"/>
    <w:rsid w:val="52A1730F"/>
    <w:rsid w:val="52A80CDA"/>
    <w:rsid w:val="52AB2578"/>
    <w:rsid w:val="52AE419A"/>
    <w:rsid w:val="52B633F7"/>
    <w:rsid w:val="52B70B30"/>
    <w:rsid w:val="52B82AF8"/>
    <w:rsid w:val="52C13B4A"/>
    <w:rsid w:val="52C406F0"/>
    <w:rsid w:val="52CB1C48"/>
    <w:rsid w:val="52CF270B"/>
    <w:rsid w:val="52E17814"/>
    <w:rsid w:val="52E87354"/>
    <w:rsid w:val="52EA7D50"/>
    <w:rsid w:val="52EB1652"/>
    <w:rsid w:val="52ED3DBE"/>
    <w:rsid w:val="52F43F1F"/>
    <w:rsid w:val="52F45CCD"/>
    <w:rsid w:val="52F4673F"/>
    <w:rsid w:val="52F4732C"/>
    <w:rsid w:val="52F91536"/>
    <w:rsid w:val="52FB17DF"/>
    <w:rsid w:val="53000B16"/>
    <w:rsid w:val="53005A6E"/>
    <w:rsid w:val="5305203B"/>
    <w:rsid w:val="53053726"/>
    <w:rsid w:val="530D52D0"/>
    <w:rsid w:val="530E0072"/>
    <w:rsid w:val="531457C8"/>
    <w:rsid w:val="531A638D"/>
    <w:rsid w:val="533E1AEA"/>
    <w:rsid w:val="53453670"/>
    <w:rsid w:val="53517AE7"/>
    <w:rsid w:val="53560A8F"/>
    <w:rsid w:val="535D10D9"/>
    <w:rsid w:val="535D1AC5"/>
    <w:rsid w:val="535D7BAA"/>
    <w:rsid w:val="53603363"/>
    <w:rsid w:val="536F365D"/>
    <w:rsid w:val="537F65C3"/>
    <w:rsid w:val="5382461A"/>
    <w:rsid w:val="5382528E"/>
    <w:rsid w:val="538700CE"/>
    <w:rsid w:val="53924C20"/>
    <w:rsid w:val="53996B07"/>
    <w:rsid w:val="53A34453"/>
    <w:rsid w:val="53A34CD1"/>
    <w:rsid w:val="53A64F21"/>
    <w:rsid w:val="53A91641"/>
    <w:rsid w:val="53AA6D4F"/>
    <w:rsid w:val="53B072AA"/>
    <w:rsid w:val="53D17DBD"/>
    <w:rsid w:val="53D31E8D"/>
    <w:rsid w:val="53D66241"/>
    <w:rsid w:val="53D6676E"/>
    <w:rsid w:val="53DB6001"/>
    <w:rsid w:val="53E2646E"/>
    <w:rsid w:val="53EA55E6"/>
    <w:rsid w:val="53ED28EF"/>
    <w:rsid w:val="53EE402C"/>
    <w:rsid w:val="53F02939"/>
    <w:rsid w:val="53FA7313"/>
    <w:rsid w:val="541245EC"/>
    <w:rsid w:val="54214B1D"/>
    <w:rsid w:val="54220644"/>
    <w:rsid w:val="54295A84"/>
    <w:rsid w:val="54295E34"/>
    <w:rsid w:val="542A5070"/>
    <w:rsid w:val="542A76F3"/>
    <w:rsid w:val="542B4AB1"/>
    <w:rsid w:val="54322F51"/>
    <w:rsid w:val="543254FE"/>
    <w:rsid w:val="5438608E"/>
    <w:rsid w:val="543D6BFA"/>
    <w:rsid w:val="544279DA"/>
    <w:rsid w:val="54474B8C"/>
    <w:rsid w:val="544762D1"/>
    <w:rsid w:val="544917F6"/>
    <w:rsid w:val="544A18CA"/>
    <w:rsid w:val="54560715"/>
    <w:rsid w:val="5459234D"/>
    <w:rsid w:val="546450D5"/>
    <w:rsid w:val="54661945"/>
    <w:rsid w:val="547C0731"/>
    <w:rsid w:val="547E1511"/>
    <w:rsid w:val="547E6196"/>
    <w:rsid w:val="548136DA"/>
    <w:rsid w:val="54834309"/>
    <w:rsid w:val="54935574"/>
    <w:rsid w:val="549C757B"/>
    <w:rsid w:val="549E1091"/>
    <w:rsid w:val="54A97B16"/>
    <w:rsid w:val="54B24092"/>
    <w:rsid w:val="54B31F33"/>
    <w:rsid w:val="54B52600"/>
    <w:rsid w:val="54BB2AB7"/>
    <w:rsid w:val="54CC035E"/>
    <w:rsid w:val="54D65C14"/>
    <w:rsid w:val="54D66E10"/>
    <w:rsid w:val="54D91C71"/>
    <w:rsid w:val="54DA5546"/>
    <w:rsid w:val="54E02E24"/>
    <w:rsid w:val="54E65AEA"/>
    <w:rsid w:val="54EA0B37"/>
    <w:rsid w:val="54EA67E0"/>
    <w:rsid w:val="550B5550"/>
    <w:rsid w:val="550B72FE"/>
    <w:rsid w:val="550E4DED"/>
    <w:rsid w:val="55115C1F"/>
    <w:rsid w:val="5514572A"/>
    <w:rsid w:val="55146EA7"/>
    <w:rsid w:val="55160C9A"/>
    <w:rsid w:val="552176DC"/>
    <w:rsid w:val="55220A3C"/>
    <w:rsid w:val="55222B92"/>
    <w:rsid w:val="55236C15"/>
    <w:rsid w:val="552C79A0"/>
    <w:rsid w:val="553F6525"/>
    <w:rsid w:val="55452F2C"/>
    <w:rsid w:val="55494FB9"/>
    <w:rsid w:val="554C0043"/>
    <w:rsid w:val="554D3971"/>
    <w:rsid w:val="555022BB"/>
    <w:rsid w:val="55572544"/>
    <w:rsid w:val="555D1BAC"/>
    <w:rsid w:val="55673445"/>
    <w:rsid w:val="55696358"/>
    <w:rsid w:val="55761142"/>
    <w:rsid w:val="557A5AB0"/>
    <w:rsid w:val="55841B36"/>
    <w:rsid w:val="558F7F2F"/>
    <w:rsid w:val="55932284"/>
    <w:rsid w:val="559A37F0"/>
    <w:rsid w:val="55A001F5"/>
    <w:rsid w:val="55A97F25"/>
    <w:rsid w:val="55AD05A3"/>
    <w:rsid w:val="55AD0BA1"/>
    <w:rsid w:val="55B35D7F"/>
    <w:rsid w:val="55B55BE8"/>
    <w:rsid w:val="55C23E61"/>
    <w:rsid w:val="55C4407D"/>
    <w:rsid w:val="55C51BA3"/>
    <w:rsid w:val="55C97FD9"/>
    <w:rsid w:val="55E9045C"/>
    <w:rsid w:val="55F53FE5"/>
    <w:rsid w:val="55F81F79"/>
    <w:rsid w:val="55FB6105"/>
    <w:rsid w:val="56000D18"/>
    <w:rsid w:val="56025417"/>
    <w:rsid w:val="56034FE2"/>
    <w:rsid w:val="5608544B"/>
    <w:rsid w:val="56091ABC"/>
    <w:rsid w:val="560A10C9"/>
    <w:rsid w:val="560E354A"/>
    <w:rsid w:val="560F2A42"/>
    <w:rsid w:val="561B401E"/>
    <w:rsid w:val="561F3A91"/>
    <w:rsid w:val="562E70CC"/>
    <w:rsid w:val="56324C1F"/>
    <w:rsid w:val="563762F2"/>
    <w:rsid w:val="5640122A"/>
    <w:rsid w:val="56446F6C"/>
    <w:rsid w:val="56454FD9"/>
    <w:rsid w:val="56494582"/>
    <w:rsid w:val="56526A97"/>
    <w:rsid w:val="56550E6B"/>
    <w:rsid w:val="565679E6"/>
    <w:rsid w:val="56573E98"/>
    <w:rsid w:val="5661367A"/>
    <w:rsid w:val="56690780"/>
    <w:rsid w:val="566D6A2E"/>
    <w:rsid w:val="56755377"/>
    <w:rsid w:val="56787ABD"/>
    <w:rsid w:val="5680427A"/>
    <w:rsid w:val="56821842"/>
    <w:rsid w:val="5682641C"/>
    <w:rsid w:val="56837A94"/>
    <w:rsid w:val="568B3B27"/>
    <w:rsid w:val="568C01DB"/>
    <w:rsid w:val="569108E2"/>
    <w:rsid w:val="56962686"/>
    <w:rsid w:val="569A6857"/>
    <w:rsid w:val="569A6A77"/>
    <w:rsid w:val="56A1616C"/>
    <w:rsid w:val="56A20C40"/>
    <w:rsid w:val="56A631C1"/>
    <w:rsid w:val="56AC2ADE"/>
    <w:rsid w:val="56AD6A4D"/>
    <w:rsid w:val="56B03051"/>
    <w:rsid w:val="56B11302"/>
    <w:rsid w:val="56B3706A"/>
    <w:rsid w:val="56B9061F"/>
    <w:rsid w:val="56B95317"/>
    <w:rsid w:val="56C34335"/>
    <w:rsid w:val="56CA3C34"/>
    <w:rsid w:val="56CB31E9"/>
    <w:rsid w:val="56CD1279"/>
    <w:rsid w:val="56D62CBD"/>
    <w:rsid w:val="56DA21CF"/>
    <w:rsid w:val="56DC53F6"/>
    <w:rsid w:val="56DF4A9B"/>
    <w:rsid w:val="56E27F48"/>
    <w:rsid w:val="56ED412E"/>
    <w:rsid w:val="56FE1E56"/>
    <w:rsid w:val="570151F6"/>
    <w:rsid w:val="5710502A"/>
    <w:rsid w:val="571D3F23"/>
    <w:rsid w:val="572052E3"/>
    <w:rsid w:val="57261B2A"/>
    <w:rsid w:val="57281234"/>
    <w:rsid w:val="572A7F10"/>
    <w:rsid w:val="572B1EDA"/>
    <w:rsid w:val="57383FEB"/>
    <w:rsid w:val="574F42F2"/>
    <w:rsid w:val="57541431"/>
    <w:rsid w:val="57542C8A"/>
    <w:rsid w:val="57612992"/>
    <w:rsid w:val="576378C6"/>
    <w:rsid w:val="576553EC"/>
    <w:rsid w:val="576A4F07"/>
    <w:rsid w:val="576B42C3"/>
    <w:rsid w:val="576C6472"/>
    <w:rsid w:val="57715B3F"/>
    <w:rsid w:val="577218B7"/>
    <w:rsid w:val="577613A7"/>
    <w:rsid w:val="5784475F"/>
    <w:rsid w:val="57866527"/>
    <w:rsid w:val="579A7C5E"/>
    <w:rsid w:val="579F48FC"/>
    <w:rsid w:val="57A24519"/>
    <w:rsid w:val="57AF45B7"/>
    <w:rsid w:val="57B65C47"/>
    <w:rsid w:val="57B67C8D"/>
    <w:rsid w:val="57BB47CB"/>
    <w:rsid w:val="57BC2B32"/>
    <w:rsid w:val="57C0062D"/>
    <w:rsid w:val="57C314E7"/>
    <w:rsid w:val="57C94C39"/>
    <w:rsid w:val="57C95DF2"/>
    <w:rsid w:val="57D1482F"/>
    <w:rsid w:val="57D36495"/>
    <w:rsid w:val="57DA3E17"/>
    <w:rsid w:val="57DD1426"/>
    <w:rsid w:val="58044C05"/>
    <w:rsid w:val="58047084"/>
    <w:rsid w:val="580A667A"/>
    <w:rsid w:val="581035A9"/>
    <w:rsid w:val="581A4428"/>
    <w:rsid w:val="58286620"/>
    <w:rsid w:val="582C168A"/>
    <w:rsid w:val="582E3A30"/>
    <w:rsid w:val="58312FDB"/>
    <w:rsid w:val="58394C24"/>
    <w:rsid w:val="583D3C73"/>
    <w:rsid w:val="5842414F"/>
    <w:rsid w:val="584960D8"/>
    <w:rsid w:val="584C2108"/>
    <w:rsid w:val="58501BF8"/>
    <w:rsid w:val="5851222B"/>
    <w:rsid w:val="5858477F"/>
    <w:rsid w:val="585A0885"/>
    <w:rsid w:val="585C48F9"/>
    <w:rsid w:val="586710B3"/>
    <w:rsid w:val="586714DE"/>
    <w:rsid w:val="586D00E8"/>
    <w:rsid w:val="587D289E"/>
    <w:rsid w:val="588C3500"/>
    <w:rsid w:val="58913FBE"/>
    <w:rsid w:val="58966AE3"/>
    <w:rsid w:val="58981215"/>
    <w:rsid w:val="589A2E73"/>
    <w:rsid w:val="58A23318"/>
    <w:rsid w:val="58A415C0"/>
    <w:rsid w:val="58AA6DC1"/>
    <w:rsid w:val="58B44A3E"/>
    <w:rsid w:val="58BD19E0"/>
    <w:rsid w:val="58C215F8"/>
    <w:rsid w:val="58CC34D1"/>
    <w:rsid w:val="58D10154"/>
    <w:rsid w:val="58D4321B"/>
    <w:rsid w:val="58D72FA3"/>
    <w:rsid w:val="58D96CCC"/>
    <w:rsid w:val="58EB2E9D"/>
    <w:rsid w:val="58EB4753"/>
    <w:rsid w:val="58EF4CB6"/>
    <w:rsid w:val="58F42DF3"/>
    <w:rsid w:val="58FC29EF"/>
    <w:rsid w:val="59022995"/>
    <w:rsid w:val="59056347"/>
    <w:rsid w:val="5912601F"/>
    <w:rsid w:val="5919023C"/>
    <w:rsid w:val="591946E0"/>
    <w:rsid w:val="59250D09"/>
    <w:rsid w:val="592A368C"/>
    <w:rsid w:val="592B4413"/>
    <w:rsid w:val="59376914"/>
    <w:rsid w:val="593E7860"/>
    <w:rsid w:val="594A419B"/>
    <w:rsid w:val="594F4DE3"/>
    <w:rsid w:val="59513E7A"/>
    <w:rsid w:val="59545065"/>
    <w:rsid w:val="59552BDF"/>
    <w:rsid w:val="595752EE"/>
    <w:rsid w:val="59576FB6"/>
    <w:rsid w:val="595E7A98"/>
    <w:rsid w:val="59687F7B"/>
    <w:rsid w:val="596C0CB3"/>
    <w:rsid w:val="59702152"/>
    <w:rsid w:val="59723DF0"/>
    <w:rsid w:val="597933D0"/>
    <w:rsid w:val="59883C19"/>
    <w:rsid w:val="598863C7"/>
    <w:rsid w:val="59886EC3"/>
    <w:rsid w:val="59893FB3"/>
    <w:rsid w:val="598C197E"/>
    <w:rsid w:val="598D4786"/>
    <w:rsid w:val="598F463B"/>
    <w:rsid w:val="59917BD8"/>
    <w:rsid w:val="599B0106"/>
    <w:rsid w:val="59A33FA9"/>
    <w:rsid w:val="59A34F8B"/>
    <w:rsid w:val="59A42ED5"/>
    <w:rsid w:val="59A55F73"/>
    <w:rsid w:val="59AC5554"/>
    <w:rsid w:val="59AD307A"/>
    <w:rsid w:val="59B53F12"/>
    <w:rsid w:val="59C43633"/>
    <w:rsid w:val="59C81C62"/>
    <w:rsid w:val="59C85659"/>
    <w:rsid w:val="59D5487E"/>
    <w:rsid w:val="59D9304A"/>
    <w:rsid w:val="59DE1976"/>
    <w:rsid w:val="59E6085D"/>
    <w:rsid w:val="59EE2A5A"/>
    <w:rsid w:val="59F20F7B"/>
    <w:rsid w:val="59F2455A"/>
    <w:rsid w:val="5A020427"/>
    <w:rsid w:val="5A0507C0"/>
    <w:rsid w:val="5A077EF9"/>
    <w:rsid w:val="5A0F2933"/>
    <w:rsid w:val="5A13112F"/>
    <w:rsid w:val="5A16540E"/>
    <w:rsid w:val="5A1929E8"/>
    <w:rsid w:val="5A2D1499"/>
    <w:rsid w:val="5A2E5F69"/>
    <w:rsid w:val="5A3410A5"/>
    <w:rsid w:val="5A343D6C"/>
    <w:rsid w:val="5A350141"/>
    <w:rsid w:val="5A37649C"/>
    <w:rsid w:val="5A3A3DD1"/>
    <w:rsid w:val="5A3D0440"/>
    <w:rsid w:val="5A44578C"/>
    <w:rsid w:val="5A45017F"/>
    <w:rsid w:val="5A4E0035"/>
    <w:rsid w:val="5A4E79E8"/>
    <w:rsid w:val="5A5A0654"/>
    <w:rsid w:val="5A6327B2"/>
    <w:rsid w:val="5A753B98"/>
    <w:rsid w:val="5A847973"/>
    <w:rsid w:val="5A89377C"/>
    <w:rsid w:val="5A8C0EE1"/>
    <w:rsid w:val="5A8E1350"/>
    <w:rsid w:val="5A987886"/>
    <w:rsid w:val="5AA77AC9"/>
    <w:rsid w:val="5AAD1C48"/>
    <w:rsid w:val="5AAD42E7"/>
    <w:rsid w:val="5AB557F2"/>
    <w:rsid w:val="5ABF4E13"/>
    <w:rsid w:val="5ADA39FB"/>
    <w:rsid w:val="5AEF2F65"/>
    <w:rsid w:val="5AF076C2"/>
    <w:rsid w:val="5AF54CD9"/>
    <w:rsid w:val="5AF67DFC"/>
    <w:rsid w:val="5AF727FF"/>
    <w:rsid w:val="5AFF5C53"/>
    <w:rsid w:val="5B177D3C"/>
    <w:rsid w:val="5B1F1821"/>
    <w:rsid w:val="5B215ACE"/>
    <w:rsid w:val="5B2479CD"/>
    <w:rsid w:val="5B255F5F"/>
    <w:rsid w:val="5B285BF8"/>
    <w:rsid w:val="5B2935E6"/>
    <w:rsid w:val="5B294982"/>
    <w:rsid w:val="5B321A89"/>
    <w:rsid w:val="5B370E4D"/>
    <w:rsid w:val="5B47061D"/>
    <w:rsid w:val="5B4A0074"/>
    <w:rsid w:val="5B4F5858"/>
    <w:rsid w:val="5B53524E"/>
    <w:rsid w:val="5B57504B"/>
    <w:rsid w:val="5B576451"/>
    <w:rsid w:val="5B5951F9"/>
    <w:rsid w:val="5B5B19B6"/>
    <w:rsid w:val="5B5E6EDF"/>
    <w:rsid w:val="5B6065F6"/>
    <w:rsid w:val="5B61236E"/>
    <w:rsid w:val="5B623CAD"/>
    <w:rsid w:val="5B631C42"/>
    <w:rsid w:val="5B6E443E"/>
    <w:rsid w:val="5B721B69"/>
    <w:rsid w:val="5B7225A9"/>
    <w:rsid w:val="5B7B51DE"/>
    <w:rsid w:val="5B7C7C99"/>
    <w:rsid w:val="5B82528F"/>
    <w:rsid w:val="5B844AAF"/>
    <w:rsid w:val="5B8F10D5"/>
    <w:rsid w:val="5B9A76B3"/>
    <w:rsid w:val="5B9E23C4"/>
    <w:rsid w:val="5BA50205"/>
    <w:rsid w:val="5BAD7361"/>
    <w:rsid w:val="5BB14A3E"/>
    <w:rsid w:val="5BB7189C"/>
    <w:rsid w:val="5BBB3129"/>
    <w:rsid w:val="5BC55897"/>
    <w:rsid w:val="5BC60A5B"/>
    <w:rsid w:val="5BD212AE"/>
    <w:rsid w:val="5BD47291"/>
    <w:rsid w:val="5BD837D2"/>
    <w:rsid w:val="5BE605C7"/>
    <w:rsid w:val="5BE75D47"/>
    <w:rsid w:val="5BEC436C"/>
    <w:rsid w:val="5BED134D"/>
    <w:rsid w:val="5BF037E6"/>
    <w:rsid w:val="5BF65B4D"/>
    <w:rsid w:val="5C076A71"/>
    <w:rsid w:val="5C077CBE"/>
    <w:rsid w:val="5C0D69B5"/>
    <w:rsid w:val="5C0E3BCB"/>
    <w:rsid w:val="5C115B42"/>
    <w:rsid w:val="5C1231A2"/>
    <w:rsid w:val="5C1A2416"/>
    <w:rsid w:val="5C252A42"/>
    <w:rsid w:val="5C3633D5"/>
    <w:rsid w:val="5C3F32DF"/>
    <w:rsid w:val="5C447CC6"/>
    <w:rsid w:val="5C4659EB"/>
    <w:rsid w:val="5C490D5F"/>
    <w:rsid w:val="5C4F1119"/>
    <w:rsid w:val="5C571CB2"/>
    <w:rsid w:val="5C5A1C17"/>
    <w:rsid w:val="5C5B7641"/>
    <w:rsid w:val="5C645379"/>
    <w:rsid w:val="5C866B91"/>
    <w:rsid w:val="5C8925EC"/>
    <w:rsid w:val="5C892717"/>
    <w:rsid w:val="5C8F6A67"/>
    <w:rsid w:val="5C981DBF"/>
    <w:rsid w:val="5C983EC2"/>
    <w:rsid w:val="5C9A3AC1"/>
    <w:rsid w:val="5C9C6701"/>
    <w:rsid w:val="5C9E7D8C"/>
    <w:rsid w:val="5CA249EC"/>
    <w:rsid w:val="5CA30BCE"/>
    <w:rsid w:val="5CA40D06"/>
    <w:rsid w:val="5CA93FCD"/>
    <w:rsid w:val="5CAB17F0"/>
    <w:rsid w:val="5CAE2BFC"/>
    <w:rsid w:val="5CAE620A"/>
    <w:rsid w:val="5CB62246"/>
    <w:rsid w:val="5CB70DE9"/>
    <w:rsid w:val="5CB764AD"/>
    <w:rsid w:val="5CBB3EFC"/>
    <w:rsid w:val="5CC32849"/>
    <w:rsid w:val="5CCC1A69"/>
    <w:rsid w:val="5CCC3EFE"/>
    <w:rsid w:val="5CD86660"/>
    <w:rsid w:val="5CE93F7D"/>
    <w:rsid w:val="5CEB1EEF"/>
    <w:rsid w:val="5CEF5A8D"/>
    <w:rsid w:val="5CF015DC"/>
    <w:rsid w:val="5CFA65D6"/>
    <w:rsid w:val="5D096819"/>
    <w:rsid w:val="5D097277"/>
    <w:rsid w:val="5D105DFA"/>
    <w:rsid w:val="5D143CA2"/>
    <w:rsid w:val="5D1A6C78"/>
    <w:rsid w:val="5D200043"/>
    <w:rsid w:val="5D20704F"/>
    <w:rsid w:val="5D2371F4"/>
    <w:rsid w:val="5D283DC3"/>
    <w:rsid w:val="5D284D0A"/>
    <w:rsid w:val="5D33033E"/>
    <w:rsid w:val="5D36085B"/>
    <w:rsid w:val="5D361DC4"/>
    <w:rsid w:val="5D3D2A9C"/>
    <w:rsid w:val="5D4D6EF1"/>
    <w:rsid w:val="5D531398"/>
    <w:rsid w:val="5D573D9F"/>
    <w:rsid w:val="5D6317B2"/>
    <w:rsid w:val="5D66261B"/>
    <w:rsid w:val="5D681792"/>
    <w:rsid w:val="5D6A7ED7"/>
    <w:rsid w:val="5D6B4C95"/>
    <w:rsid w:val="5D752101"/>
    <w:rsid w:val="5D771D1E"/>
    <w:rsid w:val="5D79574D"/>
    <w:rsid w:val="5D7B43B9"/>
    <w:rsid w:val="5D7E1199"/>
    <w:rsid w:val="5D8311EF"/>
    <w:rsid w:val="5D846D3F"/>
    <w:rsid w:val="5D850596"/>
    <w:rsid w:val="5D8B0141"/>
    <w:rsid w:val="5D903957"/>
    <w:rsid w:val="5DA90129"/>
    <w:rsid w:val="5DAF5AA5"/>
    <w:rsid w:val="5DAF5DBE"/>
    <w:rsid w:val="5DB160C6"/>
    <w:rsid w:val="5DB9687D"/>
    <w:rsid w:val="5DD03F39"/>
    <w:rsid w:val="5DD064C8"/>
    <w:rsid w:val="5DD86F40"/>
    <w:rsid w:val="5DDA66DE"/>
    <w:rsid w:val="5DDF57F6"/>
    <w:rsid w:val="5DE22624"/>
    <w:rsid w:val="5DE8347A"/>
    <w:rsid w:val="5DEA4A1B"/>
    <w:rsid w:val="5DEB13B7"/>
    <w:rsid w:val="5DEF1EB3"/>
    <w:rsid w:val="5DEF4142"/>
    <w:rsid w:val="5DF179D9"/>
    <w:rsid w:val="5DF430AE"/>
    <w:rsid w:val="5DF9063C"/>
    <w:rsid w:val="5DFB0858"/>
    <w:rsid w:val="5E023994"/>
    <w:rsid w:val="5E0514A3"/>
    <w:rsid w:val="5E0A2CAE"/>
    <w:rsid w:val="5E111E29"/>
    <w:rsid w:val="5E153AD5"/>
    <w:rsid w:val="5E155710"/>
    <w:rsid w:val="5E155F7C"/>
    <w:rsid w:val="5E1F3AB9"/>
    <w:rsid w:val="5E2A5603"/>
    <w:rsid w:val="5E316028"/>
    <w:rsid w:val="5E46072F"/>
    <w:rsid w:val="5E466AA7"/>
    <w:rsid w:val="5E497A36"/>
    <w:rsid w:val="5E4A17C1"/>
    <w:rsid w:val="5E4A493F"/>
    <w:rsid w:val="5E4C2523"/>
    <w:rsid w:val="5E56783C"/>
    <w:rsid w:val="5E68756F"/>
    <w:rsid w:val="5E6A153A"/>
    <w:rsid w:val="5E6E672E"/>
    <w:rsid w:val="5E7B72A3"/>
    <w:rsid w:val="5E7F7ED1"/>
    <w:rsid w:val="5E8223E8"/>
    <w:rsid w:val="5E873E9A"/>
    <w:rsid w:val="5E9469B3"/>
    <w:rsid w:val="5E9860A7"/>
    <w:rsid w:val="5EAC3900"/>
    <w:rsid w:val="5EAD6B97"/>
    <w:rsid w:val="5EAE7678"/>
    <w:rsid w:val="5EB14979"/>
    <w:rsid w:val="5EB96B40"/>
    <w:rsid w:val="5EC26978"/>
    <w:rsid w:val="5EC64614"/>
    <w:rsid w:val="5ED326CD"/>
    <w:rsid w:val="5ED66BCF"/>
    <w:rsid w:val="5EDA046D"/>
    <w:rsid w:val="5EDD34E4"/>
    <w:rsid w:val="5EF322C7"/>
    <w:rsid w:val="5EF7319A"/>
    <w:rsid w:val="5EFF0C07"/>
    <w:rsid w:val="5F007881"/>
    <w:rsid w:val="5F075ABB"/>
    <w:rsid w:val="5F0D583F"/>
    <w:rsid w:val="5F1D2CC5"/>
    <w:rsid w:val="5F1F2324"/>
    <w:rsid w:val="5F27742B"/>
    <w:rsid w:val="5F284767"/>
    <w:rsid w:val="5F2B6680"/>
    <w:rsid w:val="5F2D0A0C"/>
    <w:rsid w:val="5F2D2C93"/>
    <w:rsid w:val="5F3202A9"/>
    <w:rsid w:val="5F3D0C0A"/>
    <w:rsid w:val="5F441E0B"/>
    <w:rsid w:val="5F4955F3"/>
    <w:rsid w:val="5F4C7F4C"/>
    <w:rsid w:val="5F4F2373"/>
    <w:rsid w:val="5F543E66"/>
    <w:rsid w:val="5F5B78AA"/>
    <w:rsid w:val="5F5C0317"/>
    <w:rsid w:val="5F645E8C"/>
    <w:rsid w:val="5F6D7B45"/>
    <w:rsid w:val="5F84653C"/>
    <w:rsid w:val="5F8623A3"/>
    <w:rsid w:val="5F893C41"/>
    <w:rsid w:val="5F94262E"/>
    <w:rsid w:val="5FA14FE9"/>
    <w:rsid w:val="5FA41453"/>
    <w:rsid w:val="5FA665A1"/>
    <w:rsid w:val="5FB00EF7"/>
    <w:rsid w:val="5FB7255D"/>
    <w:rsid w:val="5FD0731D"/>
    <w:rsid w:val="5FD34546"/>
    <w:rsid w:val="5FD44B7B"/>
    <w:rsid w:val="5FD5638F"/>
    <w:rsid w:val="5FDA3E8D"/>
    <w:rsid w:val="5FDA53E1"/>
    <w:rsid w:val="5FE80968"/>
    <w:rsid w:val="5FEA0B84"/>
    <w:rsid w:val="5FEA2932"/>
    <w:rsid w:val="5FEF70BC"/>
    <w:rsid w:val="5FF05AB4"/>
    <w:rsid w:val="600040B6"/>
    <w:rsid w:val="600A498C"/>
    <w:rsid w:val="600D1EF1"/>
    <w:rsid w:val="600D31A1"/>
    <w:rsid w:val="6012316E"/>
    <w:rsid w:val="60197ACC"/>
    <w:rsid w:val="601A350E"/>
    <w:rsid w:val="601C2250"/>
    <w:rsid w:val="601C4DC6"/>
    <w:rsid w:val="602D1B49"/>
    <w:rsid w:val="6031230F"/>
    <w:rsid w:val="60397415"/>
    <w:rsid w:val="60437301"/>
    <w:rsid w:val="60453AA2"/>
    <w:rsid w:val="604E364F"/>
    <w:rsid w:val="605C4EB2"/>
    <w:rsid w:val="605C682C"/>
    <w:rsid w:val="606232BB"/>
    <w:rsid w:val="60663D2B"/>
    <w:rsid w:val="606968D4"/>
    <w:rsid w:val="60833F81"/>
    <w:rsid w:val="6086467B"/>
    <w:rsid w:val="60870515"/>
    <w:rsid w:val="608C5797"/>
    <w:rsid w:val="608C61A1"/>
    <w:rsid w:val="60917218"/>
    <w:rsid w:val="609925BE"/>
    <w:rsid w:val="60AB0BE9"/>
    <w:rsid w:val="60B304AD"/>
    <w:rsid w:val="60B324DE"/>
    <w:rsid w:val="60B55F1F"/>
    <w:rsid w:val="60B57AE4"/>
    <w:rsid w:val="60BE5618"/>
    <w:rsid w:val="60BE791B"/>
    <w:rsid w:val="60C05470"/>
    <w:rsid w:val="60C15B45"/>
    <w:rsid w:val="60D3096F"/>
    <w:rsid w:val="60D3390C"/>
    <w:rsid w:val="60D46A35"/>
    <w:rsid w:val="60DE2BA6"/>
    <w:rsid w:val="60E07891"/>
    <w:rsid w:val="60E22525"/>
    <w:rsid w:val="60E80C54"/>
    <w:rsid w:val="60EC6976"/>
    <w:rsid w:val="60F155ED"/>
    <w:rsid w:val="60FC2713"/>
    <w:rsid w:val="60FE6ED6"/>
    <w:rsid w:val="60FF41BB"/>
    <w:rsid w:val="6100644B"/>
    <w:rsid w:val="61025A59"/>
    <w:rsid w:val="61045C75"/>
    <w:rsid w:val="610C6769"/>
    <w:rsid w:val="611314E2"/>
    <w:rsid w:val="61131A15"/>
    <w:rsid w:val="611C2FBF"/>
    <w:rsid w:val="61233FC6"/>
    <w:rsid w:val="61292BAD"/>
    <w:rsid w:val="61344B78"/>
    <w:rsid w:val="6138591F"/>
    <w:rsid w:val="613A4BD2"/>
    <w:rsid w:val="613D2F35"/>
    <w:rsid w:val="613E2EBF"/>
    <w:rsid w:val="6145539F"/>
    <w:rsid w:val="61530C11"/>
    <w:rsid w:val="615722F6"/>
    <w:rsid w:val="615A3EC4"/>
    <w:rsid w:val="615F0C98"/>
    <w:rsid w:val="616877AD"/>
    <w:rsid w:val="616D46AC"/>
    <w:rsid w:val="616D55C9"/>
    <w:rsid w:val="6171096B"/>
    <w:rsid w:val="61733CD6"/>
    <w:rsid w:val="61755176"/>
    <w:rsid w:val="61785596"/>
    <w:rsid w:val="61785D1C"/>
    <w:rsid w:val="618560EB"/>
    <w:rsid w:val="618D1F4A"/>
    <w:rsid w:val="61934619"/>
    <w:rsid w:val="61975E10"/>
    <w:rsid w:val="61997E55"/>
    <w:rsid w:val="61A22D98"/>
    <w:rsid w:val="61AA1BA2"/>
    <w:rsid w:val="61B20936"/>
    <w:rsid w:val="61B35650"/>
    <w:rsid w:val="61B62CEF"/>
    <w:rsid w:val="61C11092"/>
    <w:rsid w:val="61C529F3"/>
    <w:rsid w:val="61C84749"/>
    <w:rsid w:val="61D218D0"/>
    <w:rsid w:val="61DF6CF6"/>
    <w:rsid w:val="61E151B6"/>
    <w:rsid w:val="61E522ED"/>
    <w:rsid w:val="61E56832"/>
    <w:rsid w:val="61FD747F"/>
    <w:rsid w:val="62013F63"/>
    <w:rsid w:val="62031397"/>
    <w:rsid w:val="620A72BB"/>
    <w:rsid w:val="620D321D"/>
    <w:rsid w:val="62362ED2"/>
    <w:rsid w:val="62375BD7"/>
    <w:rsid w:val="623B6711"/>
    <w:rsid w:val="624639C3"/>
    <w:rsid w:val="62487DE4"/>
    <w:rsid w:val="624A5652"/>
    <w:rsid w:val="624F76C1"/>
    <w:rsid w:val="625247BE"/>
    <w:rsid w:val="62693C55"/>
    <w:rsid w:val="627177C4"/>
    <w:rsid w:val="62726F20"/>
    <w:rsid w:val="6279650E"/>
    <w:rsid w:val="627A53BF"/>
    <w:rsid w:val="62807D45"/>
    <w:rsid w:val="628952C7"/>
    <w:rsid w:val="628A6B59"/>
    <w:rsid w:val="62905E1B"/>
    <w:rsid w:val="6295574A"/>
    <w:rsid w:val="6299419B"/>
    <w:rsid w:val="62A21952"/>
    <w:rsid w:val="62A87B74"/>
    <w:rsid w:val="62AF39BF"/>
    <w:rsid w:val="62B049DB"/>
    <w:rsid w:val="62B334AF"/>
    <w:rsid w:val="62BD2EA7"/>
    <w:rsid w:val="62BF00A6"/>
    <w:rsid w:val="62C60A0B"/>
    <w:rsid w:val="62CF1F42"/>
    <w:rsid w:val="62D511E1"/>
    <w:rsid w:val="62E03239"/>
    <w:rsid w:val="62E25B42"/>
    <w:rsid w:val="62E57674"/>
    <w:rsid w:val="62ED5038"/>
    <w:rsid w:val="62F80603"/>
    <w:rsid w:val="62F835B8"/>
    <w:rsid w:val="630737FB"/>
    <w:rsid w:val="63096465"/>
    <w:rsid w:val="630B6EFD"/>
    <w:rsid w:val="630C7063"/>
    <w:rsid w:val="631C2B2B"/>
    <w:rsid w:val="6320449F"/>
    <w:rsid w:val="632048BD"/>
    <w:rsid w:val="63275C4B"/>
    <w:rsid w:val="63293771"/>
    <w:rsid w:val="632B64E7"/>
    <w:rsid w:val="632E5FAF"/>
    <w:rsid w:val="63312626"/>
    <w:rsid w:val="6340397F"/>
    <w:rsid w:val="63414F5F"/>
    <w:rsid w:val="634E464F"/>
    <w:rsid w:val="63542436"/>
    <w:rsid w:val="63543E6F"/>
    <w:rsid w:val="6358668C"/>
    <w:rsid w:val="635A6C4D"/>
    <w:rsid w:val="635B15D7"/>
    <w:rsid w:val="63627480"/>
    <w:rsid w:val="63760770"/>
    <w:rsid w:val="63806FF7"/>
    <w:rsid w:val="63894210"/>
    <w:rsid w:val="638B1088"/>
    <w:rsid w:val="63980C7B"/>
    <w:rsid w:val="639946F4"/>
    <w:rsid w:val="639D6D09"/>
    <w:rsid w:val="63A159FD"/>
    <w:rsid w:val="63A20A15"/>
    <w:rsid w:val="63A352A3"/>
    <w:rsid w:val="63B222EA"/>
    <w:rsid w:val="63C74D38"/>
    <w:rsid w:val="63CB22DE"/>
    <w:rsid w:val="63CC2BA1"/>
    <w:rsid w:val="63D336DD"/>
    <w:rsid w:val="63DF3FF8"/>
    <w:rsid w:val="63DF6526"/>
    <w:rsid w:val="63E611BF"/>
    <w:rsid w:val="63F27D49"/>
    <w:rsid w:val="63FC427C"/>
    <w:rsid w:val="63FF2724"/>
    <w:rsid w:val="64006AD1"/>
    <w:rsid w:val="64032214"/>
    <w:rsid w:val="641105A9"/>
    <w:rsid w:val="642503DD"/>
    <w:rsid w:val="643248A8"/>
    <w:rsid w:val="64332772"/>
    <w:rsid w:val="64432918"/>
    <w:rsid w:val="644C7D3B"/>
    <w:rsid w:val="645410C3"/>
    <w:rsid w:val="64616F3B"/>
    <w:rsid w:val="64642335"/>
    <w:rsid w:val="646F1658"/>
    <w:rsid w:val="6472739A"/>
    <w:rsid w:val="64736095"/>
    <w:rsid w:val="64775612"/>
    <w:rsid w:val="647823D7"/>
    <w:rsid w:val="64794284"/>
    <w:rsid w:val="647E5C1C"/>
    <w:rsid w:val="64856C3F"/>
    <w:rsid w:val="6488096B"/>
    <w:rsid w:val="64884E4A"/>
    <w:rsid w:val="648B04DE"/>
    <w:rsid w:val="648E6994"/>
    <w:rsid w:val="648F64CB"/>
    <w:rsid w:val="649044D3"/>
    <w:rsid w:val="64904662"/>
    <w:rsid w:val="64913B44"/>
    <w:rsid w:val="64962982"/>
    <w:rsid w:val="6497295D"/>
    <w:rsid w:val="649B5D0A"/>
    <w:rsid w:val="649E3CEB"/>
    <w:rsid w:val="64A0024F"/>
    <w:rsid w:val="64A733C5"/>
    <w:rsid w:val="64AE5A94"/>
    <w:rsid w:val="64B2300B"/>
    <w:rsid w:val="64BF778C"/>
    <w:rsid w:val="64CA0F84"/>
    <w:rsid w:val="64CF6F82"/>
    <w:rsid w:val="64D01F9A"/>
    <w:rsid w:val="64DB47E2"/>
    <w:rsid w:val="64DF4A2F"/>
    <w:rsid w:val="64F1206D"/>
    <w:rsid w:val="64FD10C5"/>
    <w:rsid w:val="65091AAC"/>
    <w:rsid w:val="650C6EA7"/>
    <w:rsid w:val="65183A9D"/>
    <w:rsid w:val="651B65A7"/>
    <w:rsid w:val="65202952"/>
    <w:rsid w:val="652077A2"/>
    <w:rsid w:val="6532081B"/>
    <w:rsid w:val="653B1E64"/>
    <w:rsid w:val="654261F3"/>
    <w:rsid w:val="6543419A"/>
    <w:rsid w:val="654C1999"/>
    <w:rsid w:val="654D55EC"/>
    <w:rsid w:val="65501C63"/>
    <w:rsid w:val="65543314"/>
    <w:rsid w:val="65575DD1"/>
    <w:rsid w:val="65586590"/>
    <w:rsid w:val="65593EFD"/>
    <w:rsid w:val="65602700"/>
    <w:rsid w:val="656B62C3"/>
    <w:rsid w:val="656D4FC2"/>
    <w:rsid w:val="656E190F"/>
    <w:rsid w:val="65724DA4"/>
    <w:rsid w:val="65755470"/>
    <w:rsid w:val="657773A7"/>
    <w:rsid w:val="657A7C6A"/>
    <w:rsid w:val="657C0642"/>
    <w:rsid w:val="658074B4"/>
    <w:rsid w:val="65837672"/>
    <w:rsid w:val="658548BF"/>
    <w:rsid w:val="658729D1"/>
    <w:rsid w:val="65895139"/>
    <w:rsid w:val="65896749"/>
    <w:rsid w:val="658A108C"/>
    <w:rsid w:val="658B1D6E"/>
    <w:rsid w:val="659833F6"/>
    <w:rsid w:val="65A116AE"/>
    <w:rsid w:val="65A2780B"/>
    <w:rsid w:val="65A444BA"/>
    <w:rsid w:val="65A4504F"/>
    <w:rsid w:val="65AD18B1"/>
    <w:rsid w:val="65B17A4E"/>
    <w:rsid w:val="65B45D4A"/>
    <w:rsid w:val="65BE4CC1"/>
    <w:rsid w:val="65C6109A"/>
    <w:rsid w:val="65C6799D"/>
    <w:rsid w:val="65D8147F"/>
    <w:rsid w:val="65DA51F7"/>
    <w:rsid w:val="65DD45A2"/>
    <w:rsid w:val="65EE37F5"/>
    <w:rsid w:val="65F85528"/>
    <w:rsid w:val="66024023"/>
    <w:rsid w:val="660512CF"/>
    <w:rsid w:val="66056182"/>
    <w:rsid w:val="66091B9E"/>
    <w:rsid w:val="660F30F2"/>
    <w:rsid w:val="66164E61"/>
    <w:rsid w:val="661D6110"/>
    <w:rsid w:val="66216982"/>
    <w:rsid w:val="662614B4"/>
    <w:rsid w:val="662A5770"/>
    <w:rsid w:val="663743F7"/>
    <w:rsid w:val="663B23A4"/>
    <w:rsid w:val="66432D9C"/>
    <w:rsid w:val="66522FDF"/>
    <w:rsid w:val="66567BD7"/>
    <w:rsid w:val="66652D12"/>
    <w:rsid w:val="666B1747"/>
    <w:rsid w:val="66800A05"/>
    <w:rsid w:val="668138C4"/>
    <w:rsid w:val="66833198"/>
    <w:rsid w:val="669473E5"/>
    <w:rsid w:val="66952ECC"/>
    <w:rsid w:val="669F4CEF"/>
    <w:rsid w:val="66A15D14"/>
    <w:rsid w:val="66A23F66"/>
    <w:rsid w:val="66A87542"/>
    <w:rsid w:val="66AA6689"/>
    <w:rsid w:val="66AE5601"/>
    <w:rsid w:val="66AE7F64"/>
    <w:rsid w:val="66B007F3"/>
    <w:rsid w:val="66BB15DA"/>
    <w:rsid w:val="66C53B2A"/>
    <w:rsid w:val="66CA5405"/>
    <w:rsid w:val="66CB2934"/>
    <w:rsid w:val="66CB2CB2"/>
    <w:rsid w:val="66E0660B"/>
    <w:rsid w:val="66E06C16"/>
    <w:rsid w:val="66E45858"/>
    <w:rsid w:val="67026087"/>
    <w:rsid w:val="6718097A"/>
    <w:rsid w:val="671C750C"/>
    <w:rsid w:val="671D58BA"/>
    <w:rsid w:val="671E27C3"/>
    <w:rsid w:val="67210CB9"/>
    <w:rsid w:val="67211FCB"/>
    <w:rsid w:val="672E2A59"/>
    <w:rsid w:val="672F1572"/>
    <w:rsid w:val="67311DA8"/>
    <w:rsid w:val="67332292"/>
    <w:rsid w:val="6736662F"/>
    <w:rsid w:val="67372159"/>
    <w:rsid w:val="67420527"/>
    <w:rsid w:val="67452B44"/>
    <w:rsid w:val="674752B2"/>
    <w:rsid w:val="674761F2"/>
    <w:rsid w:val="674D37A6"/>
    <w:rsid w:val="675178F8"/>
    <w:rsid w:val="67530D2B"/>
    <w:rsid w:val="675321B2"/>
    <w:rsid w:val="67566232"/>
    <w:rsid w:val="676236F6"/>
    <w:rsid w:val="67652B68"/>
    <w:rsid w:val="676E3E49"/>
    <w:rsid w:val="67701C37"/>
    <w:rsid w:val="678418BE"/>
    <w:rsid w:val="67870D1C"/>
    <w:rsid w:val="67885D9C"/>
    <w:rsid w:val="678D4D4F"/>
    <w:rsid w:val="679E4871"/>
    <w:rsid w:val="67A15F83"/>
    <w:rsid w:val="67A547F5"/>
    <w:rsid w:val="67CA4DF7"/>
    <w:rsid w:val="67D16B92"/>
    <w:rsid w:val="67E4410B"/>
    <w:rsid w:val="67ED7937"/>
    <w:rsid w:val="67F15238"/>
    <w:rsid w:val="67F85187"/>
    <w:rsid w:val="67FA66D6"/>
    <w:rsid w:val="67FB3E7A"/>
    <w:rsid w:val="68014CBD"/>
    <w:rsid w:val="680256AF"/>
    <w:rsid w:val="68031F9D"/>
    <w:rsid w:val="680651AF"/>
    <w:rsid w:val="680B78E9"/>
    <w:rsid w:val="6821710D"/>
    <w:rsid w:val="68251C79"/>
    <w:rsid w:val="683573CA"/>
    <w:rsid w:val="68397549"/>
    <w:rsid w:val="684060A9"/>
    <w:rsid w:val="68527181"/>
    <w:rsid w:val="6853337F"/>
    <w:rsid w:val="685B498C"/>
    <w:rsid w:val="685F02DC"/>
    <w:rsid w:val="6865349E"/>
    <w:rsid w:val="68670E3C"/>
    <w:rsid w:val="68691BA0"/>
    <w:rsid w:val="686F42DB"/>
    <w:rsid w:val="687B4DEF"/>
    <w:rsid w:val="68847728"/>
    <w:rsid w:val="68882AC6"/>
    <w:rsid w:val="68893AF2"/>
    <w:rsid w:val="688A67BA"/>
    <w:rsid w:val="688C2CBA"/>
    <w:rsid w:val="688E3995"/>
    <w:rsid w:val="68932CAC"/>
    <w:rsid w:val="6898484C"/>
    <w:rsid w:val="689A7AA4"/>
    <w:rsid w:val="689F0CCA"/>
    <w:rsid w:val="68AC592C"/>
    <w:rsid w:val="68C32724"/>
    <w:rsid w:val="68C90761"/>
    <w:rsid w:val="68CF773E"/>
    <w:rsid w:val="68D0699B"/>
    <w:rsid w:val="68D53A08"/>
    <w:rsid w:val="68D86CFC"/>
    <w:rsid w:val="68DE0B5A"/>
    <w:rsid w:val="68DE3908"/>
    <w:rsid w:val="68DE762A"/>
    <w:rsid w:val="68F43B6E"/>
    <w:rsid w:val="68F47416"/>
    <w:rsid w:val="68F77E6E"/>
    <w:rsid w:val="68FB0B0E"/>
    <w:rsid w:val="690059DE"/>
    <w:rsid w:val="6911588B"/>
    <w:rsid w:val="69240E33"/>
    <w:rsid w:val="692A3EA0"/>
    <w:rsid w:val="692B5C5B"/>
    <w:rsid w:val="692D53AF"/>
    <w:rsid w:val="693C4AA5"/>
    <w:rsid w:val="693D7019"/>
    <w:rsid w:val="69405E75"/>
    <w:rsid w:val="69471745"/>
    <w:rsid w:val="69557143"/>
    <w:rsid w:val="696261AA"/>
    <w:rsid w:val="69784512"/>
    <w:rsid w:val="697A23FD"/>
    <w:rsid w:val="697E4DB6"/>
    <w:rsid w:val="698027B4"/>
    <w:rsid w:val="698227FE"/>
    <w:rsid w:val="698818F9"/>
    <w:rsid w:val="69896064"/>
    <w:rsid w:val="698A6F34"/>
    <w:rsid w:val="698C05B6"/>
    <w:rsid w:val="698E4554"/>
    <w:rsid w:val="698E4C21"/>
    <w:rsid w:val="698E725F"/>
    <w:rsid w:val="6992730B"/>
    <w:rsid w:val="69937B96"/>
    <w:rsid w:val="6994372B"/>
    <w:rsid w:val="69992CD3"/>
    <w:rsid w:val="699A19F1"/>
    <w:rsid w:val="69A47FF6"/>
    <w:rsid w:val="69A924F9"/>
    <w:rsid w:val="69AA3222"/>
    <w:rsid w:val="69AA67AF"/>
    <w:rsid w:val="69B362D4"/>
    <w:rsid w:val="69C53861"/>
    <w:rsid w:val="69C61975"/>
    <w:rsid w:val="69CC4E56"/>
    <w:rsid w:val="69CE0BCF"/>
    <w:rsid w:val="69CF4947"/>
    <w:rsid w:val="69D02B99"/>
    <w:rsid w:val="69DF102E"/>
    <w:rsid w:val="69E5416A"/>
    <w:rsid w:val="69EE49F2"/>
    <w:rsid w:val="69F02A3C"/>
    <w:rsid w:val="69F04794"/>
    <w:rsid w:val="69F06D97"/>
    <w:rsid w:val="6A037A7C"/>
    <w:rsid w:val="6A091146"/>
    <w:rsid w:val="6A102F95"/>
    <w:rsid w:val="6A124E49"/>
    <w:rsid w:val="6A172676"/>
    <w:rsid w:val="6A2B3CFB"/>
    <w:rsid w:val="6A303637"/>
    <w:rsid w:val="6A335450"/>
    <w:rsid w:val="6A351D22"/>
    <w:rsid w:val="6A386990"/>
    <w:rsid w:val="6A3D3B6C"/>
    <w:rsid w:val="6A42336B"/>
    <w:rsid w:val="6A4E7F61"/>
    <w:rsid w:val="6A510EFB"/>
    <w:rsid w:val="6A552E62"/>
    <w:rsid w:val="6A58493C"/>
    <w:rsid w:val="6A5B1ED6"/>
    <w:rsid w:val="6A5B278B"/>
    <w:rsid w:val="6A5F5CCB"/>
    <w:rsid w:val="6A600F55"/>
    <w:rsid w:val="6A696456"/>
    <w:rsid w:val="6A696B49"/>
    <w:rsid w:val="6A7E0847"/>
    <w:rsid w:val="6A92189B"/>
    <w:rsid w:val="6A99742E"/>
    <w:rsid w:val="6AA604B1"/>
    <w:rsid w:val="6AA71A3B"/>
    <w:rsid w:val="6ABA0D24"/>
    <w:rsid w:val="6ABE7487"/>
    <w:rsid w:val="6AC344AB"/>
    <w:rsid w:val="6ACC21D7"/>
    <w:rsid w:val="6ACD37A5"/>
    <w:rsid w:val="6AD22940"/>
    <w:rsid w:val="6AD44534"/>
    <w:rsid w:val="6AD7577F"/>
    <w:rsid w:val="6ADC5263"/>
    <w:rsid w:val="6AEE76F2"/>
    <w:rsid w:val="6AEF704E"/>
    <w:rsid w:val="6AF412E1"/>
    <w:rsid w:val="6AF84907"/>
    <w:rsid w:val="6AFD1A79"/>
    <w:rsid w:val="6AFE3735"/>
    <w:rsid w:val="6B1409AB"/>
    <w:rsid w:val="6B170353"/>
    <w:rsid w:val="6B1B7717"/>
    <w:rsid w:val="6B200FA4"/>
    <w:rsid w:val="6B252A70"/>
    <w:rsid w:val="6B2C4EB3"/>
    <w:rsid w:val="6B2E48D1"/>
    <w:rsid w:val="6B2F7D93"/>
    <w:rsid w:val="6B3130BE"/>
    <w:rsid w:val="6B351EC3"/>
    <w:rsid w:val="6B36443B"/>
    <w:rsid w:val="6B4313CD"/>
    <w:rsid w:val="6B43539B"/>
    <w:rsid w:val="6B44347E"/>
    <w:rsid w:val="6B4F1C28"/>
    <w:rsid w:val="6B525DF9"/>
    <w:rsid w:val="6B5B4551"/>
    <w:rsid w:val="6B60789E"/>
    <w:rsid w:val="6B736214"/>
    <w:rsid w:val="6B7B6B34"/>
    <w:rsid w:val="6B8071BE"/>
    <w:rsid w:val="6B8105AB"/>
    <w:rsid w:val="6B8131DE"/>
    <w:rsid w:val="6B841E74"/>
    <w:rsid w:val="6B8706BB"/>
    <w:rsid w:val="6B891D45"/>
    <w:rsid w:val="6B8C412D"/>
    <w:rsid w:val="6B8F0831"/>
    <w:rsid w:val="6B91280C"/>
    <w:rsid w:val="6B9D2F4E"/>
    <w:rsid w:val="6B9F26E1"/>
    <w:rsid w:val="6BA258BC"/>
    <w:rsid w:val="6BA621ED"/>
    <w:rsid w:val="6BB12556"/>
    <w:rsid w:val="6BB56AF2"/>
    <w:rsid w:val="6BB75808"/>
    <w:rsid w:val="6BB807F9"/>
    <w:rsid w:val="6BB87D88"/>
    <w:rsid w:val="6BBC1739"/>
    <w:rsid w:val="6BC9187A"/>
    <w:rsid w:val="6BD47F4C"/>
    <w:rsid w:val="6BDF1071"/>
    <w:rsid w:val="6BE648F5"/>
    <w:rsid w:val="6BEA638A"/>
    <w:rsid w:val="6BF32976"/>
    <w:rsid w:val="6BF608B1"/>
    <w:rsid w:val="6BFC79F9"/>
    <w:rsid w:val="6C04083B"/>
    <w:rsid w:val="6C141B92"/>
    <w:rsid w:val="6C14510A"/>
    <w:rsid w:val="6C197133"/>
    <w:rsid w:val="6C222354"/>
    <w:rsid w:val="6C2242A7"/>
    <w:rsid w:val="6C255641"/>
    <w:rsid w:val="6C33740F"/>
    <w:rsid w:val="6C4412CB"/>
    <w:rsid w:val="6C48698B"/>
    <w:rsid w:val="6C5E145D"/>
    <w:rsid w:val="6C643A6C"/>
    <w:rsid w:val="6C6E33E2"/>
    <w:rsid w:val="6C77348E"/>
    <w:rsid w:val="6C7D1F23"/>
    <w:rsid w:val="6C86174A"/>
    <w:rsid w:val="6C8C45B4"/>
    <w:rsid w:val="6C9205D9"/>
    <w:rsid w:val="6CA61F13"/>
    <w:rsid w:val="6CA72894"/>
    <w:rsid w:val="6CAB3449"/>
    <w:rsid w:val="6CB30550"/>
    <w:rsid w:val="6CB71DEE"/>
    <w:rsid w:val="6CB96A2B"/>
    <w:rsid w:val="6CBC5656"/>
    <w:rsid w:val="6CC24780"/>
    <w:rsid w:val="6CC4400A"/>
    <w:rsid w:val="6CC57F3E"/>
    <w:rsid w:val="6CCD5345"/>
    <w:rsid w:val="6CCE7137"/>
    <w:rsid w:val="6CCF700D"/>
    <w:rsid w:val="6CE150BD"/>
    <w:rsid w:val="6CEA22A3"/>
    <w:rsid w:val="6CFD6897"/>
    <w:rsid w:val="6D007700"/>
    <w:rsid w:val="6D107CFF"/>
    <w:rsid w:val="6D154D66"/>
    <w:rsid w:val="6D15790C"/>
    <w:rsid w:val="6D176D30"/>
    <w:rsid w:val="6D1931B2"/>
    <w:rsid w:val="6D1E7C56"/>
    <w:rsid w:val="6D2232F1"/>
    <w:rsid w:val="6D2D3E5E"/>
    <w:rsid w:val="6D2F7BD6"/>
    <w:rsid w:val="6D3C1B7B"/>
    <w:rsid w:val="6D401EB7"/>
    <w:rsid w:val="6D4571CB"/>
    <w:rsid w:val="6D482670"/>
    <w:rsid w:val="6D4A4A10"/>
    <w:rsid w:val="6D4D0783"/>
    <w:rsid w:val="6D514CF1"/>
    <w:rsid w:val="6D6547FC"/>
    <w:rsid w:val="6D666B7D"/>
    <w:rsid w:val="6D761B06"/>
    <w:rsid w:val="6D7766FB"/>
    <w:rsid w:val="6D780682"/>
    <w:rsid w:val="6D7D04CF"/>
    <w:rsid w:val="6D7E4304"/>
    <w:rsid w:val="6D9045C9"/>
    <w:rsid w:val="6D9119A9"/>
    <w:rsid w:val="6D95178E"/>
    <w:rsid w:val="6D973F47"/>
    <w:rsid w:val="6D994BD1"/>
    <w:rsid w:val="6D9B34BE"/>
    <w:rsid w:val="6D9F4929"/>
    <w:rsid w:val="6DA657DC"/>
    <w:rsid w:val="6DA96003"/>
    <w:rsid w:val="6DD440ED"/>
    <w:rsid w:val="6DD675B8"/>
    <w:rsid w:val="6DE309C1"/>
    <w:rsid w:val="6DED7F0C"/>
    <w:rsid w:val="6DF1132F"/>
    <w:rsid w:val="6DF65A39"/>
    <w:rsid w:val="6DFE6A34"/>
    <w:rsid w:val="6E012B75"/>
    <w:rsid w:val="6E0C72EF"/>
    <w:rsid w:val="6E1164D9"/>
    <w:rsid w:val="6E1B267E"/>
    <w:rsid w:val="6E255EDC"/>
    <w:rsid w:val="6E274D51"/>
    <w:rsid w:val="6E2D16C1"/>
    <w:rsid w:val="6E341473"/>
    <w:rsid w:val="6E347BED"/>
    <w:rsid w:val="6E414748"/>
    <w:rsid w:val="6E452BD4"/>
    <w:rsid w:val="6E4831EB"/>
    <w:rsid w:val="6E535B46"/>
    <w:rsid w:val="6E540DCA"/>
    <w:rsid w:val="6E5450D2"/>
    <w:rsid w:val="6E5B3006"/>
    <w:rsid w:val="6E5B3122"/>
    <w:rsid w:val="6E5F1FD0"/>
    <w:rsid w:val="6E663ACB"/>
    <w:rsid w:val="6E670454"/>
    <w:rsid w:val="6E6A23E7"/>
    <w:rsid w:val="6E7837FF"/>
    <w:rsid w:val="6E787A19"/>
    <w:rsid w:val="6E97293C"/>
    <w:rsid w:val="6E9D48E3"/>
    <w:rsid w:val="6EA21FC3"/>
    <w:rsid w:val="6EB0771D"/>
    <w:rsid w:val="6EB26A48"/>
    <w:rsid w:val="6EB56A79"/>
    <w:rsid w:val="6EB62C72"/>
    <w:rsid w:val="6EBD39F9"/>
    <w:rsid w:val="6EC911D3"/>
    <w:rsid w:val="6ED8429D"/>
    <w:rsid w:val="6EE112EC"/>
    <w:rsid w:val="6F0137F4"/>
    <w:rsid w:val="6F0D246C"/>
    <w:rsid w:val="6F27750D"/>
    <w:rsid w:val="6F292CBF"/>
    <w:rsid w:val="6F2C2ABD"/>
    <w:rsid w:val="6F3D2FE5"/>
    <w:rsid w:val="6F400306"/>
    <w:rsid w:val="6F687BCA"/>
    <w:rsid w:val="6F734879"/>
    <w:rsid w:val="6F765042"/>
    <w:rsid w:val="6F7932F6"/>
    <w:rsid w:val="6F7B7362"/>
    <w:rsid w:val="6F7D6439"/>
    <w:rsid w:val="6F7E1CF8"/>
    <w:rsid w:val="6F8A0A8D"/>
    <w:rsid w:val="6F8C69CC"/>
    <w:rsid w:val="6F9E7295"/>
    <w:rsid w:val="6FA00508"/>
    <w:rsid w:val="6FAB088D"/>
    <w:rsid w:val="6FB12683"/>
    <w:rsid w:val="6FB90D4F"/>
    <w:rsid w:val="6FC04E38"/>
    <w:rsid w:val="6FC36487"/>
    <w:rsid w:val="6FC44A70"/>
    <w:rsid w:val="6FC7059A"/>
    <w:rsid w:val="6FCE1B0B"/>
    <w:rsid w:val="6FD20123"/>
    <w:rsid w:val="6FE56E1C"/>
    <w:rsid w:val="6FE57345"/>
    <w:rsid w:val="6FE9122C"/>
    <w:rsid w:val="6FEC4BEB"/>
    <w:rsid w:val="6FEE75C9"/>
    <w:rsid w:val="6FEF3932"/>
    <w:rsid w:val="6FF57A69"/>
    <w:rsid w:val="6FF7779A"/>
    <w:rsid w:val="6FFB6060"/>
    <w:rsid w:val="6FFE1697"/>
    <w:rsid w:val="70010C2B"/>
    <w:rsid w:val="7001794A"/>
    <w:rsid w:val="70150296"/>
    <w:rsid w:val="70156BD3"/>
    <w:rsid w:val="701B08E6"/>
    <w:rsid w:val="701C7AF7"/>
    <w:rsid w:val="701E3F32"/>
    <w:rsid w:val="701E50FA"/>
    <w:rsid w:val="702E402E"/>
    <w:rsid w:val="702F4391"/>
    <w:rsid w:val="70373FCF"/>
    <w:rsid w:val="703F1B56"/>
    <w:rsid w:val="704A4D27"/>
    <w:rsid w:val="704B11CB"/>
    <w:rsid w:val="7051559B"/>
    <w:rsid w:val="70550D0E"/>
    <w:rsid w:val="705A140E"/>
    <w:rsid w:val="70633312"/>
    <w:rsid w:val="70712C1C"/>
    <w:rsid w:val="707A6009"/>
    <w:rsid w:val="707B3010"/>
    <w:rsid w:val="708F7D90"/>
    <w:rsid w:val="7093036D"/>
    <w:rsid w:val="7094655B"/>
    <w:rsid w:val="709A7A5C"/>
    <w:rsid w:val="70A1703D"/>
    <w:rsid w:val="70A271A8"/>
    <w:rsid w:val="70AD3A27"/>
    <w:rsid w:val="70B36D70"/>
    <w:rsid w:val="70B42052"/>
    <w:rsid w:val="70B83D07"/>
    <w:rsid w:val="70B84386"/>
    <w:rsid w:val="70BF71AB"/>
    <w:rsid w:val="70C63FE2"/>
    <w:rsid w:val="70CA3F32"/>
    <w:rsid w:val="70CE5958"/>
    <w:rsid w:val="70D94B4C"/>
    <w:rsid w:val="70DD088D"/>
    <w:rsid w:val="70DD0EF7"/>
    <w:rsid w:val="70DF4A8D"/>
    <w:rsid w:val="70E739D2"/>
    <w:rsid w:val="70EA3000"/>
    <w:rsid w:val="70F6785F"/>
    <w:rsid w:val="70F8535B"/>
    <w:rsid w:val="70FB0BD6"/>
    <w:rsid w:val="70FB4B90"/>
    <w:rsid w:val="71045E5B"/>
    <w:rsid w:val="71094064"/>
    <w:rsid w:val="71094BE2"/>
    <w:rsid w:val="71096990"/>
    <w:rsid w:val="710B65B0"/>
    <w:rsid w:val="710C6852"/>
    <w:rsid w:val="711B3EE9"/>
    <w:rsid w:val="711D481C"/>
    <w:rsid w:val="712A2806"/>
    <w:rsid w:val="7130216F"/>
    <w:rsid w:val="71353C29"/>
    <w:rsid w:val="714939C6"/>
    <w:rsid w:val="714A7612"/>
    <w:rsid w:val="714E589A"/>
    <w:rsid w:val="71563B33"/>
    <w:rsid w:val="715A408D"/>
    <w:rsid w:val="715D36CC"/>
    <w:rsid w:val="717A7969"/>
    <w:rsid w:val="718030F6"/>
    <w:rsid w:val="718B3849"/>
    <w:rsid w:val="71B765E0"/>
    <w:rsid w:val="71BE23C9"/>
    <w:rsid w:val="71CD5C10"/>
    <w:rsid w:val="71D06B9E"/>
    <w:rsid w:val="71D27091"/>
    <w:rsid w:val="71D56198"/>
    <w:rsid w:val="71E167DA"/>
    <w:rsid w:val="71E365AD"/>
    <w:rsid w:val="71EF1C80"/>
    <w:rsid w:val="71F2268A"/>
    <w:rsid w:val="71FB1783"/>
    <w:rsid w:val="7200707C"/>
    <w:rsid w:val="720454ED"/>
    <w:rsid w:val="72075DE5"/>
    <w:rsid w:val="72084E9A"/>
    <w:rsid w:val="720A7322"/>
    <w:rsid w:val="72113DA5"/>
    <w:rsid w:val="72114F00"/>
    <w:rsid w:val="72115575"/>
    <w:rsid w:val="721226B4"/>
    <w:rsid w:val="72133F6A"/>
    <w:rsid w:val="721360CB"/>
    <w:rsid w:val="7227337A"/>
    <w:rsid w:val="722A2239"/>
    <w:rsid w:val="722A562F"/>
    <w:rsid w:val="72355841"/>
    <w:rsid w:val="723914F7"/>
    <w:rsid w:val="723E33DD"/>
    <w:rsid w:val="72447E14"/>
    <w:rsid w:val="72475D33"/>
    <w:rsid w:val="724A54B2"/>
    <w:rsid w:val="725B76BF"/>
    <w:rsid w:val="7260714B"/>
    <w:rsid w:val="726A16B0"/>
    <w:rsid w:val="72736FBF"/>
    <w:rsid w:val="72756639"/>
    <w:rsid w:val="727A1A97"/>
    <w:rsid w:val="727F33AE"/>
    <w:rsid w:val="7281114C"/>
    <w:rsid w:val="72813464"/>
    <w:rsid w:val="7287086C"/>
    <w:rsid w:val="729A7079"/>
    <w:rsid w:val="729F2863"/>
    <w:rsid w:val="72A45547"/>
    <w:rsid w:val="72A47720"/>
    <w:rsid w:val="72AA01A8"/>
    <w:rsid w:val="72AF0BFE"/>
    <w:rsid w:val="72AF7075"/>
    <w:rsid w:val="72B664E0"/>
    <w:rsid w:val="72BA0D33"/>
    <w:rsid w:val="72C67A42"/>
    <w:rsid w:val="72D10CE6"/>
    <w:rsid w:val="72D13B36"/>
    <w:rsid w:val="72D6655E"/>
    <w:rsid w:val="72E5066D"/>
    <w:rsid w:val="72E7637A"/>
    <w:rsid w:val="72EB40FD"/>
    <w:rsid w:val="7303782A"/>
    <w:rsid w:val="73046FF4"/>
    <w:rsid w:val="73216213"/>
    <w:rsid w:val="7326607C"/>
    <w:rsid w:val="732D2E0A"/>
    <w:rsid w:val="73326672"/>
    <w:rsid w:val="733B7FF8"/>
    <w:rsid w:val="733D4E8A"/>
    <w:rsid w:val="7346058C"/>
    <w:rsid w:val="734D1FAA"/>
    <w:rsid w:val="734D525A"/>
    <w:rsid w:val="73504F28"/>
    <w:rsid w:val="7352461E"/>
    <w:rsid w:val="735C01A8"/>
    <w:rsid w:val="73691968"/>
    <w:rsid w:val="736E3471"/>
    <w:rsid w:val="73734595"/>
    <w:rsid w:val="737B100C"/>
    <w:rsid w:val="738A66A9"/>
    <w:rsid w:val="738B7ED6"/>
    <w:rsid w:val="738E17EB"/>
    <w:rsid w:val="73905147"/>
    <w:rsid w:val="73920EBF"/>
    <w:rsid w:val="73936A6E"/>
    <w:rsid w:val="7394143C"/>
    <w:rsid w:val="73974727"/>
    <w:rsid w:val="739C7D61"/>
    <w:rsid w:val="73A90FDE"/>
    <w:rsid w:val="73AE69BC"/>
    <w:rsid w:val="73B60B93"/>
    <w:rsid w:val="73B72FB8"/>
    <w:rsid w:val="73B83FEF"/>
    <w:rsid w:val="73BB5819"/>
    <w:rsid w:val="73C951A2"/>
    <w:rsid w:val="73CA4D68"/>
    <w:rsid w:val="73D176B9"/>
    <w:rsid w:val="73D350A7"/>
    <w:rsid w:val="73DB1423"/>
    <w:rsid w:val="73E84F83"/>
    <w:rsid w:val="73E97BCD"/>
    <w:rsid w:val="73F00B43"/>
    <w:rsid w:val="73F206D5"/>
    <w:rsid w:val="73F2195D"/>
    <w:rsid w:val="73FD3E7E"/>
    <w:rsid w:val="74085BDE"/>
    <w:rsid w:val="740F0761"/>
    <w:rsid w:val="740F42BD"/>
    <w:rsid w:val="74221D44"/>
    <w:rsid w:val="74241114"/>
    <w:rsid w:val="742849A5"/>
    <w:rsid w:val="742F70AA"/>
    <w:rsid w:val="743106D8"/>
    <w:rsid w:val="743B4C13"/>
    <w:rsid w:val="7440091C"/>
    <w:rsid w:val="74490C17"/>
    <w:rsid w:val="745E3511"/>
    <w:rsid w:val="746278CC"/>
    <w:rsid w:val="7464099E"/>
    <w:rsid w:val="74654E31"/>
    <w:rsid w:val="74716D26"/>
    <w:rsid w:val="747D7392"/>
    <w:rsid w:val="74822CE1"/>
    <w:rsid w:val="74832839"/>
    <w:rsid w:val="748E5283"/>
    <w:rsid w:val="748F6DE8"/>
    <w:rsid w:val="749560E7"/>
    <w:rsid w:val="74994CCB"/>
    <w:rsid w:val="749E1BF5"/>
    <w:rsid w:val="749F083A"/>
    <w:rsid w:val="74A404BB"/>
    <w:rsid w:val="74A727B8"/>
    <w:rsid w:val="74B11819"/>
    <w:rsid w:val="74BB2034"/>
    <w:rsid w:val="74BF5CE3"/>
    <w:rsid w:val="74C2787E"/>
    <w:rsid w:val="74C63B10"/>
    <w:rsid w:val="74C94852"/>
    <w:rsid w:val="74D02028"/>
    <w:rsid w:val="74DB6895"/>
    <w:rsid w:val="74E10D62"/>
    <w:rsid w:val="74E27B66"/>
    <w:rsid w:val="74E4399C"/>
    <w:rsid w:val="74E8787D"/>
    <w:rsid w:val="74E93257"/>
    <w:rsid w:val="74EF55F8"/>
    <w:rsid w:val="74F229CB"/>
    <w:rsid w:val="74F57957"/>
    <w:rsid w:val="75052F05"/>
    <w:rsid w:val="751517CB"/>
    <w:rsid w:val="75164CC0"/>
    <w:rsid w:val="75181898"/>
    <w:rsid w:val="751A7AC6"/>
    <w:rsid w:val="751F01CF"/>
    <w:rsid w:val="752C70D8"/>
    <w:rsid w:val="752E1635"/>
    <w:rsid w:val="753022DE"/>
    <w:rsid w:val="75371D1E"/>
    <w:rsid w:val="753B7D0F"/>
    <w:rsid w:val="753C02F9"/>
    <w:rsid w:val="75431833"/>
    <w:rsid w:val="754379B5"/>
    <w:rsid w:val="754465A7"/>
    <w:rsid w:val="754C0F29"/>
    <w:rsid w:val="75614FED"/>
    <w:rsid w:val="756300FD"/>
    <w:rsid w:val="75636697"/>
    <w:rsid w:val="75661708"/>
    <w:rsid w:val="756E452C"/>
    <w:rsid w:val="756F53AB"/>
    <w:rsid w:val="7588333E"/>
    <w:rsid w:val="758B20DF"/>
    <w:rsid w:val="759C4333"/>
    <w:rsid w:val="75A153E9"/>
    <w:rsid w:val="75A373B3"/>
    <w:rsid w:val="75B73DD9"/>
    <w:rsid w:val="75B742A0"/>
    <w:rsid w:val="75BB4A92"/>
    <w:rsid w:val="75C0785B"/>
    <w:rsid w:val="75C612F4"/>
    <w:rsid w:val="75C84F4A"/>
    <w:rsid w:val="75CD2602"/>
    <w:rsid w:val="75CD61DE"/>
    <w:rsid w:val="75CE2981"/>
    <w:rsid w:val="75E17EDC"/>
    <w:rsid w:val="75EB2D58"/>
    <w:rsid w:val="75FE45EA"/>
    <w:rsid w:val="760134BF"/>
    <w:rsid w:val="76081D3C"/>
    <w:rsid w:val="760B6D06"/>
    <w:rsid w:val="76104BC1"/>
    <w:rsid w:val="761222B5"/>
    <w:rsid w:val="76123935"/>
    <w:rsid w:val="76183EE2"/>
    <w:rsid w:val="7628128D"/>
    <w:rsid w:val="762F6BD0"/>
    <w:rsid w:val="763154D6"/>
    <w:rsid w:val="763712A4"/>
    <w:rsid w:val="763A70F8"/>
    <w:rsid w:val="76524935"/>
    <w:rsid w:val="76530117"/>
    <w:rsid w:val="765D60C1"/>
    <w:rsid w:val="76612DCA"/>
    <w:rsid w:val="766528BB"/>
    <w:rsid w:val="766E12F2"/>
    <w:rsid w:val="76701AD2"/>
    <w:rsid w:val="76726D86"/>
    <w:rsid w:val="76782E8B"/>
    <w:rsid w:val="767C230C"/>
    <w:rsid w:val="767F481C"/>
    <w:rsid w:val="76852F5D"/>
    <w:rsid w:val="76856461"/>
    <w:rsid w:val="769112B2"/>
    <w:rsid w:val="769135B6"/>
    <w:rsid w:val="76934DC0"/>
    <w:rsid w:val="769907B6"/>
    <w:rsid w:val="769A40B2"/>
    <w:rsid w:val="769B008A"/>
    <w:rsid w:val="769D1FDE"/>
    <w:rsid w:val="76A404D7"/>
    <w:rsid w:val="76C21ABB"/>
    <w:rsid w:val="76D02DB9"/>
    <w:rsid w:val="76D4359C"/>
    <w:rsid w:val="76D81156"/>
    <w:rsid w:val="76DB2B7D"/>
    <w:rsid w:val="76DE0114"/>
    <w:rsid w:val="76E77162"/>
    <w:rsid w:val="76F42B8E"/>
    <w:rsid w:val="76F55351"/>
    <w:rsid w:val="76FA45EA"/>
    <w:rsid w:val="77020109"/>
    <w:rsid w:val="77021AD5"/>
    <w:rsid w:val="770421EF"/>
    <w:rsid w:val="77071BC4"/>
    <w:rsid w:val="77132311"/>
    <w:rsid w:val="771F2A69"/>
    <w:rsid w:val="7727751F"/>
    <w:rsid w:val="772B22E0"/>
    <w:rsid w:val="772B713E"/>
    <w:rsid w:val="772C579E"/>
    <w:rsid w:val="773652F2"/>
    <w:rsid w:val="77514BED"/>
    <w:rsid w:val="77584D95"/>
    <w:rsid w:val="775E42CD"/>
    <w:rsid w:val="775E5A5C"/>
    <w:rsid w:val="776E1C43"/>
    <w:rsid w:val="77735262"/>
    <w:rsid w:val="77764AA4"/>
    <w:rsid w:val="77784A37"/>
    <w:rsid w:val="777B7FAD"/>
    <w:rsid w:val="777C659E"/>
    <w:rsid w:val="77870C32"/>
    <w:rsid w:val="778B4FEE"/>
    <w:rsid w:val="778D031B"/>
    <w:rsid w:val="778F7FE4"/>
    <w:rsid w:val="779A78F5"/>
    <w:rsid w:val="779C055E"/>
    <w:rsid w:val="77A825E4"/>
    <w:rsid w:val="77A9676A"/>
    <w:rsid w:val="77AC420D"/>
    <w:rsid w:val="77AD276B"/>
    <w:rsid w:val="77B358DE"/>
    <w:rsid w:val="77C33996"/>
    <w:rsid w:val="77C33D3D"/>
    <w:rsid w:val="77C83101"/>
    <w:rsid w:val="77CE088D"/>
    <w:rsid w:val="77D42760"/>
    <w:rsid w:val="77DC43E1"/>
    <w:rsid w:val="77DE46D3"/>
    <w:rsid w:val="77E12415"/>
    <w:rsid w:val="77E37F3B"/>
    <w:rsid w:val="77EA751B"/>
    <w:rsid w:val="77F02D85"/>
    <w:rsid w:val="77F246E8"/>
    <w:rsid w:val="77FC6066"/>
    <w:rsid w:val="77FC7CDA"/>
    <w:rsid w:val="77FE796C"/>
    <w:rsid w:val="77FF2CAC"/>
    <w:rsid w:val="77FF4A3D"/>
    <w:rsid w:val="780373DA"/>
    <w:rsid w:val="7811724B"/>
    <w:rsid w:val="781C0323"/>
    <w:rsid w:val="782C04BF"/>
    <w:rsid w:val="78372035"/>
    <w:rsid w:val="78456721"/>
    <w:rsid w:val="784C1F84"/>
    <w:rsid w:val="78503328"/>
    <w:rsid w:val="785F4934"/>
    <w:rsid w:val="78632E2A"/>
    <w:rsid w:val="78712B74"/>
    <w:rsid w:val="787236F5"/>
    <w:rsid w:val="78752E5A"/>
    <w:rsid w:val="787A1B11"/>
    <w:rsid w:val="787C5FF5"/>
    <w:rsid w:val="788320B2"/>
    <w:rsid w:val="78857C5F"/>
    <w:rsid w:val="78867958"/>
    <w:rsid w:val="788778D1"/>
    <w:rsid w:val="788D610E"/>
    <w:rsid w:val="78915BE9"/>
    <w:rsid w:val="789456D9"/>
    <w:rsid w:val="789D68D3"/>
    <w:rsid w:val="789E3E62"/>
    <w:rsid w:val="78A15150"/>
    <w:rsid w:val="78AC0630"/>
    <w:rsid w:val="78AC3D66"/>
    <w:rsid w:val="78B10039"/>
    <w:rsid w:val="78B15704"/>
    <w:rsid w:val="78B1619D"/>
    <w:rsid w:val="78B33DB1"/>
    <w:rsid w:val="78BB0EB8"/>
    <w:rsid w:val="78BF5135"/>
    <w:rsid w:val="78C7785D"/>
    <w:rsid w:val="78C82F63"/>
    <w:rsid w:val="78C911E7"/>
    <w:rsid w:val="78CD69B1"/>
    <w:rsid w:val="78D248B9"/>
    <w:rsid w:val="78DE5373"/>
    <w:rsid w:val="78E845A5"/>
    <w:rsid w:val="78E926E0"/>
    <w:rsid w:val="78F4792E"/>
    <w:rsid w:val="78FD502C"/>
    <w:rsid w:val="79005776"/>
    <w:rsid w:val="790535E6"/>
    <w:rsid w:val="790935C3"/>
    <w:rsid w:val="790A6756"/>
    <w:rsid w:val="790B45EA"/>
    <w:rsid w:val="79157423"/>
    <w:rsid w:val="791C2E64"/>
    <w:rsid w:val="79215C5E"/>
    <w:rsid w:val="7922087A"/>
    <w:rsid w:val="79287B35"/>
    <w:rsid w:val="792C00F0"/>
    <w:rsid w:val="793A002E"/>
    <w:rsid w:val="7941495B"/>
    <w:rsid w:val="794669D3"/>
    <w:rsid w:val="794E2D51"/>
    <w:rsid w:val="795555B8"/>
    <w:rsid w:val="7956473D"/>
    <w:rsid w:val="79567936"/>
    <w:rsid w:val="79593E99"/>
    <w:rsid w:val="795D3D1D"/>
    <w:rsid w:val="79660E24"/>
    <w:rsid w:val="796B643A"/>
    <w:rsid w:val="796C3F60"/>
    <w:rsid w:val="79730C05"/>
    <w:rsid w:val="797E7013"/>
    <w:rsid w:val="79821C5E"/>
    <w:rsid w:val="79931D1D"/>
    <w:rsid w:val="79983CE7"/>
    <w:rsid w:val="79A429F8"/>
    <w:rsid w:val="79AD4EDE"/>
    <w:rsid w:val="79AE2DC1"/>
    <w:rsid w:val="79AF1269"/>
    <w:rsid w:val="79B37DE1"/>
    <w:rsid w:val="79B863F6"/>
    <w:rsid w:val="79BD2B5A"/>
    <w:rsid w:val="79BF0534"/>
    <w:rsid w:val="79CB70D7"/>
    <w:rsid w:val="79CD0EA3"/>
    <w:rsid w:val="79D16AD3"/>
    <w:rsid w:val="79DF0DB2"/>
    <w:rsid w:val="79E97E9C"/>
    <w:rsid w:val="79EE35F3"/>
    <w:rsid w:val="79F226B7"/>
    <w:rsid w:val="79F3642F"/>
    <w:rsid w:val="79FC3536"/>
    <w:rsid w:val="79FF1FCC"/>
    <w:rsid w:val="7A0429F6"/>
    <w:rsid w:val="7A0466A9"/>
    <w:rsid w:val="7A0B1A50"/>
    <w:rsid w:val="7A0E2257"/>
    <w:rsid w:val="7A17211E"/>
    <w:rsid w:val="7A2830B3"/>
    <w:rsid w:val="7A2930B5"/>
    <w:rsid w:val="7A2D0C1D"/>
    <w:rsid w:val="7A2D495B"/>
    <w:rsid w:val="7A3C571D"/>
    <w:rsid w:val="7A40733F"/>
    <w:rsid w:val="7A431165"/>
    <w:rsid w:val="7A4544A5"/>
    <w:rsid w:val="7A4B1DC7"/>
    <w:rsid w:val="7A4E3197"/>
    <w:rsid w:val="7A516175"/>
    <w:rsid w:val="7A572FF6"/>
    <w:rsid w:val="7A5772CC"/>
    <w:rsid w:val="7A5E5666"/>
    <w:rsid w:val="7A613399"/>
    <w:rsid w:val="7A6F3D08"/>
    <w:rsid w:val="7A70182E"/>
    <w:rsid w:val="7A7556E1"/>
    <w:rsid w:val="7A881506"/>
    <w:rsid w:val="7A89213E"/>
    <w:rsid w:val="7A8D0632"/>
    <w:rsid w:val="7AA363B5"/>
    <w:rsid w:val="7AAA11E4"/>
    <w:rsid w:val="7AB46BDB"/>
    <w:rsid w:val="7AB517C3"/>
    <w:rsid w:val="7AC8601E"/>
    <w:rsid w:val="7ACA3634"/>
    <w:rsid w:val="7ACA7190"/>
    <w:rsid w:val="7AD07A21"/>
    <w:rsid w:val="7AD73D89"/>
    <w:rsid w:val="7ADA1C9E"/>
    <w:rsid w:val="7ADB1A5E"/>
    <w:rsid w:val="7ADB4F0E"/>
    <w:rsid w:val="7AE11EAF"/>
    <w:rsid w:val="7AED1666"/>
    <w:rsid w:val="7AEE6D95"/>
    <w:rsid w:val="7AF10BC1"/>
    <w:rsid w:val="7AF52A3D"/>
    <w:rsid w:val="7B066F40"/>
    <w:rsid w:val="7B09247B"/>
    <w:rsid w:val="7B0D52CF"/>
    <w:rsid w:val="7B0F490A"/>
    <w:rsid w:val="7B1074EA"/>
    <w:rsid w:val="7B152B01"/>
    <w:rsid w:val="7B164C8E"/>
    <w:rsid w:val="7B1A1A41"/>
    <w:rsid w:val="7B2019D2"/>
    <w:rsid w:val="7B222136"/>
    <w:rsid w:val="7B312153"/>
    <w:rsid w:val="7B4345CA"/>
    <w:rsid w:val="7B486307"/>
    <w:rsid w:val="7B4E5FBE"/>
    <w:rsid w:val="7B5F622F"/>
    <w:rsid w:val="7B6478C7"/>
    <w:rsid w:val="7B767A2A"/>
    <w:rsid w:val="7B837E13"/>
    <w:rsid w:val="7B980F43"/>
    <w:rsid w:val="7B9B48FF"/>
    <w:rsid w:val="7B9B5D18"/>
    <w:rsid w:val="7B9F5E55"/>
    <w:rsid w:val="7BA336CA"/>
    <w:rsid w:val="7BA40029"/>
    <w:rsid w:val="7BA619AB"/>
    <w:rsid w:val="7BAA5080"/>
    <w:rsid w:val="7BAB6FC2"/>
    <w:rsid w:val="7BB57124"/>
    <w:rsid w:val="7BB745AD"/>
    <w:rsid w:val="7BB817F4"/>
    <w:rsid w:val="7BB91693"/>
    <w:rsid w:val="7BC6204D"/>
    <w:rsid w:val="7BCA11EA"/>
    <w:rsid w:val="7BD24220"/>
    <w:rsid w:val="7BD2663B"/>
    <w:rsid w:val="7BD67EC5"/>
    <w:rsid w:val="7BD92DB1"/>
    <w:rsid w:val="7BDB0925"/>
    <w:rsid w:val="7BDD1145"/>
    <w:rsid w:val="7BE6624C"/>
    <w:rsid w:val="7BE7662D"/>
    <w:rsid w:val="7BED6227"/>
    <w:rsid w:val="7BF26C67"/>
    <w:rsid w:val="7BFD122E"/>
    <w:rsid w:val="7BFD556C"/>
    <w:rsid w:val="7BFE17E7"/>
    <w:rsid w:val="7C157CF6"/>
    <w:rsid w:val="7C283061"/>
    <w:rsid w:val="7C283908"/>
    <w:rsid w:val="7C331523"/>
    <w:rsid w:val="7C3A20F4"/>
    <w:rsid w:val="7C5300C5"/>
    <w:rsid w:val="7C532BF2"/>
    <w:rsid w:val="7C63789C"/>
    <w:rsid w:val="7C644CB4"/>
    <w:rsid w:val="7C66702E"/>
    <w:rsid w:val="7C6A0C2B"/>
    <w:rsid w:val="7C6A1CAE"/>
    <w:rsid w:val="7C6B31AB"/>
    <w:rsid w:val="7C7B5C6E"/>
    <w:rsid w:val="7C833A9B"/>
    <w:rsid w:val="7C8617DD"/>
    <w:rsid w:val="7C8B1792"/>
    <w:rsid w:val="7C991738"/>
    <w:rsid w:val="7CAA54CB"/>
    <w:rsid w:val="7CB00608"/>
    <w:rsid w:val="7CB355E0"/>
    <w:rsid w:val="7CB52D1C"/>
    <w:rsid w:val="7CB73744"/>
    <w:rsid w:val="7CB87206"/>
    <w:rsid w:val="7CBC6FAC"/>
    <w:rsid w:val="7CBE2D25"/>
    <w:rsid w:val="7CC3033B"/>
    <w:rsid w:val="7CC30E77"/>
    <w:rsid w:val="7CCC0C02"/>
    <w:rsid w:val="7CCF16A6"/>
    <w:rsid w:val="7CD2057E"/>
    <w:rsid w:val="7CD75B94"/>
    <w:rsid w:val="7CDD5E0C"/>
    <w:rsid w:val="7CE02081"/>
    <w:rsid w:val="7CF13015"/>
    <w:rsid w:val="7CF624BE"/>
    <w:rsid w:val="7D03510E"/>
    <w:rsid w:val="7D056BA5"/>
    <w:rsid w:val="7D16490F"/>
    <w:rsid w:val="7D1666BD"/>
    <w:rsid w:val="7D312536"/>
    <w:rsid w:val="7D317CEB"/>
    <w:rsid w:val="7D33726F"/>
    <w:rsid w:val="7D3B0266"/>
    <w:rsid w:val="7D4947A0"/>
    <w:rsid w:val="7D4F36B3"/>
    <w:rsid w:val="7D550FAD"/>
    <w:rsid w:val="7D5B79F9"/>
    <w:rsid w:val="7D621902"/>
    <w:rsid w:val="7D647527"/>
    <w:rsid w:val="7D6B532A"/>
    <w:rsid w:val="7D6E31DD"/>
    <w:rsid w:val="7D725A10"/>
    <w:rsid w:val="7D761851"/>
    <w:rsid w:val="7D8570A5"/>
    <w:rsid w:val="7D8C2E23"/>
    <w:rsid w:val="7D947E6F"/>
    <w:rsid w:val="7D983C19"/>
    <w:rsid w:val="7D9C12B8"/>
    <w:rsid w:val="7DB41277"/>
    <w:rsid w:val="7DBB5955"/>
    <w:rsid w:val="7DC06420"/>
    <w:rsid w:val="7DC72078"/>
    <w:rsid w:val="7DC92A55"/>
    <w:rsid w:val="7DCC6151"/>
    <w:rsid w:val="7DDA08EB"/>
    <w:rsid w:val="7DDA6954"/>
    <w:rsid w:val="7DE27B61"/>
    <w:rsid w:val="7DE41AF5"/>
    <w:rsid w:val="7DF70F71"/>
    <w:rsid w:val="7DFB5BF5"/>
    <w:rsid w:val="7E002F54"/>
    <w:rsid w:val="7E0351E2"/>
    <w:rsid w:val="7E0806FB"/>
    <w:rsid w:val="7E0D29A9"/>
    <w:rsid w:val="7E0D3F64"/>
    <w:rsid w:val="7E1D75DC"/>
    <w:rsid w:val="7E227056"/>
    <w:rsid w:val="7E24305B"/>
    <w:rsid w:val="7E2916E6"/>
    <w:rsid w:val="7E2F2410"/>
    <w:rsid w:val="7E3A10C7"/>
    <w:rsid w:val="7E3B7775"/>
    <w:rsid w:val="7E3E274E"/>
    <w:rsid w:val="7E465B30"/>
    <w:rsid w:val="7E51196E"/>
    <w:rsid w:val="7E513306"/>
    <w:rsid w:val="7E5D6B27"/>
    <w:rsid w:val="7E705AFE"/>
    <w:rsid w:val="7E71291E"/>
    <w:rsid w:val="7E787955"/>
    <w:rsid w:val="7E7A3BDB"/>
    <w:rsid w:val="7E830E9D"/>
    <w:rsid w:val="7E9D542C"/>
    <w:rsid w:val="7EA0112B"/>
    <w:rsid w:val="7EA04E6E"/>
    <w:rsid w:val="7EA84722"/>
    <w:rsid w:val="7EAA7A04"/>
    <w:rsid w:val="7EBB4BCF"/>
    <w:rsid w:val="7EC30170"/>
    <w:rsid w:val="7EC30AC6"/>
    <w:rsid w:val="7ECD724F"/>
    <w:rsid w:val="7ED54355"/>
    <w:rsid w:val="7EDC7492"/>
    <w:rsid w:val="7EDD144D"/>
    <w:rsid w:val="7EDE145C"/>
    <w:rsid w:val="7EE30820"/>
    <w:rsid w:val="7EE65D94"/>
    <w:rsid w:val="7EE7398F"/>
    <w:rsid w:val="7EEC4781"/>
    <w:rsid w:val="7EED5E12"/>
    <w:rsid w:val="7EF26AC8"/>
    <w:rsid w:val="7EF9467A"/>
    <w:rsid w:val="7F00043A"/>
    <w:rsid w:val="7F065E5F"/>
    <w:rsid w:val="7F154847"/>
    <w:rsid w:val="7F1879D2"/>
    <w:rsid w:val="7F1A09EF"/>
    <w:rsid w:val="7F1C0981"/>
    <w:rsid w:val="7F2A6313"/>
    <w:rsid w:val="7F311F8A"/>
    <w:rsid w:val="7F3217A8"/>
    <w:rsid w:val="7F3254CC"/>
    <w:rsid w:val="7F3B02ED"/>
    <w:rsid w:val="7F452F1B"/>
    <w:rsid w:val="7F472BBC"/>
    <w:rsid w:val="7F4C7537"/>
    <w:rsid w:val="7F4E65E2"/>
    <w:rsid w:val="7F5355AF"/>
    <w:rsid w:val="7F54171E"/>
    <w:rsid w:val="7F5E1296"/>
    <w:rsid w:val="7F5F215F"/>
    <w:rsid w:val="7F695E91"/>
    <w:rsid w:val="7F6C4CBA"/>
    <w:rsid w:val="7F8042C1"/>
    <w:rsid w:val="7F8612C7"/>
    <w:rsid w:val="7F901AF7"/>
    <w:rsid w:val="7F9F6E3D"/>
    <w:rsid w:val="7FA57463"/>
    <w:rsid w:val="7FAF411A"/>
    <w:rsid w:val="7FB556EB"/>
    <w:rsid w:val="7FB900DD"/>
    <w:rsid w:val="7FBA3C77"/>
    <w:rsid w:val="7FBD6186"/>
    <w:rsid w:val="7FBE45A5"/>
    <w:rsid w:val="7FD55365"/>
    <w:rsid w:val="7FDE2FCE"/>
    <w:rsid w:val="7FE44318"/>
    <w:rsid w:val="7FE644D7"/>
    <w:rsid w:val="7FE77A39"/>
    <w:rsid w:val="7FEA58B2"/>
    <w:rsid w:val="7FF12725"/>
    <w:rsid w:val="7FF149C2"/>
    <w:rsid w:val="7FF16F6D"/>
    <w:rsid w:val="7FF247A7"/>
    <w:rsid w:val="7FFA075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unhideWhenUsed="0" w:uiPriority="0" w:semiHidden="0" w:name="toc 3"/>
    <w:lsdException w:unhideWhenUsed="0" w:uiPriority="0" w:semiHidden="0" w:name="toc 4"/>
    <w:lsdException w:qFormat="1"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iPriority="1" w:name="Table Simple 1"/>
    <w:lsdException w:uiPriority="1" w:name="Table Simple 2"/>
    <w:lsdException w:uiPriority="1" w:name="Table Simple 3"/>
    <w:lsdException w:uiPriority="1" w:name="Table Classic 1"/>
    <w:lsdException w:uiPriority="1" w:name="Table Classic 2"/>
    <w:lsdException w:uiPriority="1" w:name="Table Classic 3"/>
    <w:lsdException w:uiPriority="1" w:name="Table Classic 4"/>
    <w:lsdException w:uiPriority="1" w:name="Table Colorful 1"/>
    <w:lsdException w:uiPriority="1" w:name="Table Colorful 2"/>
    <w:lsdException w:uiPriority="1" w:name="Table Colorful 3"/>
    <w:lsdException w:uiPriority="1" w:name="Table Columns 1"/>
    <w:lsdException w:uiPriority="1" w:name="Table Columns 2"/>
    <w:lsdException w:uiPriority="1" w:name="Table Columns 3"/>
    <w:lsdException w:uiPriority="1" w:name="Table Columns 4"/>
    <w:lsdException w:uiPriority="1" w:name="Table Columns 5"/>
    <w:lsdException w:uiPriority="1" w:name="Table Grid 1"/>
    <w:lsdException w:uiPriority="1" w:name="Table Grid 2"/>
    <w:lsdException w:uiPriority="1" w:name="Table Grid 3"/>
    <w:lsdException w:uiPriority="1" w:name="Table Grid 4"/>
    <w:lsdException w:uiPriority="1" w:name="Table Grid 5"/>
    <w:lsdException w:uiPriority="1" w:name="Table Grid 6"/>
    <w:lsdException w:uiPriority="1" w:name="Table Grid 7"/>
    <w:lsdException w:uiPriority="1" w:name="Table Grid 8"/>
    <w:lsdException w:uiPriority="1" w:name="Table List 1"/>
    <w:lsdException w:uiPriority="1" w:name="Table List 2"/>
    <w:lsdException w:uiPriority="1" w:name="Table List 3"/>
    <w:lsdException w:uiPriority="1" w:name="Table List 4"/>
    <w:lsdException w:uiPriority="1" w:name="Table List 5"/>
    <w:lsdException w:uiPriority="1" w:name="Table List 6"/>
    <w:lsdException w:uiPriority="1" w:name="Table List 7"/>
    <w:lsdException w:uiPriority="1" w:name="Table List 8"/>
    <w:lsdException w:uiPriority="1" w:name="Table 3D effects 1"/>
    <w:lsdException w:uiPriority="1" w:name="Table 3D effects 2"/>
    <w:lsdException w:uiPriority="1" w:name="Table 3D effects 3"/>
    <w:lsdException w:uiPriority="1" w:name="Table Contemporary"/>
    <w:lsdException w:uiPriority="1" w:name="Table Elegant"/>
    <w:lsdException w:uiPriority="1" w:name="Table Professional"/>
    <w:lsdException w:uiPriority="1" w:name="Table Subtle 1"/>
    <w:lsdException w:uiPriority="1" w:name="Table Subtle 2"/>
    <w:lsdException w:uiPriority="1" w:name="Table Web 1"/>
    <w:lsdException w:uiPriority="1" w:name="Table Web 2"/>
    <w:lsdException w:uiPriority="1" w:name="Table Web 3"/>
    <w:lsdException w:qFormat="1" w:unhideWhenUsed="0" w:uiPriority="0" w:semiHidden="0" w:name="Balloon Text"/>
    <w:lsdException w:qFormat="1" w:uiPriority="39" w:semiHidden="0" w:name="Table Grid"/>
    <w:lsdException w:uiPriority="1"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qFormat/>
    <w:uiPriority w:val="0"/>
    <w:pPr>
      <w:keepNext/>
      <w:keepLines/>
      <w:spacing w:before="340" w:after="330" w:line="576" w:lineRule="auto"/>
      <w:outlineLvl w:val="0"/>
    </w:pPr>
    <w:rPr>
      <w:rFonts w:ascii="宋体" w:hAnsi="Courier New"/>
      <w:b/>
      <w:bCs/>
      <w:kern w:val="44"/>
      <w:sz w:val="44"/>
      <w:szCs w:val="44"/>
    </w:rPr>
  </w:style>
  <w:style w:type="paragraph" w:styleId="3">
    <w:name w:val="heading 2"/>
    <w:basedOn w:val="1"/>
    <w:next w:val="1"/>
    <w:qFormat/>
    <w:uiPriority w:val="9"/>
    <w:pPr>
      <w:keepNext/>
      <w:keepLines/>
      <w:spacing w:before="260" w:after="260" w:line="415" w:lineRule="auto"/>
      <w:outlineLvl w:val="1"/>
    </w:pPr>
    <w:rPr>
      <w:rFonts w:ascii="Arial" w:hAnsi="Arial" w:eastAsia="黑体"/>
      <w:b/>
      <w:bCs/>
      <w:sz w:val="32"/>
      <w:szCs w:val="32"/>
    </w:rPr>
  </w:style>
  <w:style w:type="paragraph" w:styleId="4">
    <w:name w:val="heading 3"/>
    <w:basedOn w:val="2"/>
    <w:next w:val="1"/>
    <w:qFormat/>
    <w:uiPriority w:val="0"/>
    <w:pPr>
      <w:keepNext/>
      <w:keepLines/>
      <w:spacing w:before="260" w:after="260" w:line="415" w:lineRule="auto"/>
      <w:outlineLvl w:val="2"/>
    </w:pPr>
    <w:rPr>
      <w:sz w:val="32"/>
      <w:szCs w:val="20"/>
    </w:rPr>
  </w:style>
  <w:style w:type="paragraph" w:styleId="5">
    <w:name w:val="heading 4"/>
    <w:basedOn w:val="1"/>
    <w:next w:val="6"/>
    <w:qFormat/>
    <w:uiPriority w:val="9"/>
    <w:pPr>
      <w:keepNext/>
      <w:keepLines/>
      <w:spacing w:before="280" w:after="290" w:line="374" w:lineRule="auto"/>
      <w:outlineLvl w:val="3"/>
    </w:pPr>
    <w:rPr>
      <w:rFonts w:ascii="Arial" w:hAnsi="Arial" w:eastAsia="黑体"/>
      <w:b/>
      <w:sz w:val="28"/>
      <w:szCs w:val="20"/>
    </w:rPr>
  </w:style>
  <w:style w:type="paragraph" w:styleId="7">
    <w:name w:val="heading 7"/>
    <w:basedOn w:val="1"/>
    <w:next w:val="1"/>
    <w:qFormat/>
    <w:uiPriority w:val="1"/>
    <w:pPr>
      <w:spacing w:before="87"/>
      <w:ind w:left="120"/>
      <w:outlineLvl w:val="6"/>
    </w:pPr>
    <w:rPr>
      <w:rFonts w:ascii="仿宋" w:hAnsi="仿宋" w:eastAsia="仿宋"/>
      <w:sz w:val="30"/>
      <w:szCs w:val="30"/>
    </w:rPr>
  </w:style>
  <w:style w:type="paragraph" w:styleId="8">
    <w:name w:val="heading 8"/>
    <w:basedOn w:val="1"/>
    <w:next w:val="1"/>
    <w:qFormat/>
    <w:uiPriority w:val="1"/>
    <w:pPr>
      <w:ind w:left="664"/>
      <w:outlineLvl w:val="7"/>
    </w:pPr>
    <w:rPr>
      <w:rFonts w:ascii="仿宋" w:hAnsi="仿宋" w:eastAsia="仿宋"/>
      <w:b/>
      <w:bCs/>
      <w:sz w:val="28"/>
      <w:szCs w:val="28"/>
    </w:rPr>
  </w:style>
  <w:style w:type="character" w:default="1" w:styleId="34">
    <w:name w:val="Default Paragraph Font"/>
    <w:qFormat/>
    <w:uiPriority w:val="0"/>
  </w:style>
  <w:style w:type="table" w:default="1" w:styleId="3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6">
    <w:name w:val="Normal Indent"/>
    <w:basedOn w:val="1"/>
    <w:next w:val="5"/>
    <w:qFormat/>
    <w:uiPriority w:val="0"/>
    <w:pPr>
      <w:ind w:firstLine="420"/>
    </w:pPr>
    <w:rPr>
      <w:szCs w:val="20"/>
    </w:rPr>
  </w:style>
  <w:style w:type="paragraph" w:styleId="9">
    <w:name w:val="Document Map"/>
    <w:basedOn w:val="1"/>
    <w:qFormat/>
    <w:uiPriority w:val="0"/>
    <w:pPr>
      <w:shd w:val="clear" w:color="auto" w:fill="000080"/>
    </w:pPr>
  </w:style>
  <w:style w:type="paragraph" w:styleId="10">
    <w:name w:val="toa heading"/>
    <w:basedOn w:val="1"/>
    <w:next w:val="1"/>
    <w:qFormat/>
    <w:uiPriority w:val="0"/>
    <w:pPr>
      <w:spacing w:before="120"/>
    </w:pPr>
    <w:rPr>
      <w:rFonts w:ascii="Arial" w:hAnsi="Arial" w:cs="Arial"/>
      <w:sz w:val="24"/>
    </w:rPr>
  </w:style>
  <w:style w:type="paragraph" w:styleId="11">
    <w:name w:val="annotation text"/>
    <w:basedOn w:val="1"/>
    <w:link w:val="42"/>
    <w:qFormat/>
    <w:uiPriority w:val="0"/>
    <w:pPr>
      <w:jc w:val="left"/>
    </w:pPr>
  </w:style>
  <w:style w:type="paragraph" w:styleId="12">
    <w:name w:val="Body Text"/>
    <w:basedOn w:val="1"/>
    <w:next w:val="1"/>
    <w:link w:val="43"/>
    <w:qFormat/>
    <w:uiPriority w:val="0"/>
    <w:pPr>
      <w:spacing w:line="300" w:lineRule="exact"/>
    </w:pPr>
    <w:rPr>
      <w:rFonts w:ascii="宋体" w:hAnsi="宋体"/>
      <w:sz w:val="24"/>
    </w:rPr>
  </w:style>
  <w:style w:type="paragraph" w:styleId="13">
    <w:name w:val="Body Text Indent"/>
    <w:basedOn w:val="1"/>
    <w:link w:val="44"/>
    <w:qFormat/>
    <w:uiPriority w:val="99"/>
    <w:pPr>
      <w:spacing w:line="440" w:lineRule="exact"/>
      <w:ind w:firstLine="630"/>
    </w:pPr>
    <w:rPr>
      <w:rFonts w:ascii="宋体" w:hAnsi="宋体"/>
      <w:sz w:val="28"/>
    </w:rPr>
  </w:style>
  <w:style w:type="paragraph" w:styleId="14">
    <w:name w:val="toc 5"/>
    <w:basedOn w:val="1"/>
    <w:next w:val="1"/>
    <w:unhideWhenUsed/>
    <w:qFormat/>
    <w:uiPriority w:val="39"/>
    <w:pPr>
      <w:ind w:left="1680" w:leftChars="800"/>
    </w:pPr>
    <w:rPr>
      <w:rFonts w:ascii="Times New Roman" w:hAnsi="Times New Roman" w:cs="Times New Roman"/>
      <w:szCs w:val="20"/>
    </w:rPr>
  </w:style>
  <w:style w:type="paragraph" w:styleId="15">
    <w:name w:val="Plain Text"/>
    <w:basedOn w:val="1"/>
    <w:next w:val="1"/>
    <w:link w:val="45"/>
    <w:qFormat/>
    <w:uiPriority w:val="0"/>
    <w:rPr>
      <w:rFonts w:ascii="宋体" w:hAnsi="Courier New"/>
      <w:szCs w:val="20"/>
    </w:rPr>
  </w:style>
  <w:style w:type="paragraph" w:styleId="16">
    <w:name w:val="Date"/>
    <w:basedOn w:val="1"/>
    <w:next w:val="1"/>
    <w:qFormat/>
    <w:uiPriority w:val="0"/>
    <w:rPr>
      <w:rFonts w:ascii="宋体" w:hAnsi="Courier New" w:eastAsia="楷体_GB2312"/>
      <w:sz w:val="32"/>
      <w:szCs w:val="20"/>
    </w:rPr>
  </w:style>
  <w:style w:type="paragraph" w:styleId="17">
    <w:name w:val="Body Text Indent 2"/>
    <w:basedOn w:val="1"/>
    <w:qFormat/>
    <w:uiPriority w:val="0"/>
    <w:pPr>
      <w:tabs>
        <w:tab w:val="left" w:pos="540"/>
      </w:tabs>
      <w:ind w:firstLine="538" w:firstLineChars="192"/>
    </w:pPr>
    <w:rPr>
      <w:sz w:val="28"/>
    </w:rPr>
  </w:style>
  <w:style w:type="paragraph" w:styleId="18">
    <w:name w:val="Balloon Text"/>
    <w:basedOn w:val="1"/>
    <w:qFormat/>
    <w:uiPriority w:val="0"/>
    <w:rPr>
      <w:sz w:val="18"/>
      <w:szCs w:val="18"/>
    </w:rPr>
  </w:style>
  <w:style w:type="paragraph" w:styleId="19">
    <w:name w:val="footer"/>
    <w:basedOn w:val="1"/>
    <w:qFormat/>
    <w:uiPriority w:val="99"/>
    <w:pPr>
      <w:tabs>
        <w:tab w:val="center" w:pos="4153"/>
        <w:tab w:val="right" w:pos="8306"/>
      </w:tabs>
      <w:snapToGrid w:val="0"/>
      <w:jc w:val="left"/>
    </w:pPr>
    <w:rPr>
      <w:sz w:val="18"/>
      <w:szCs w:val="20"/>
    </w:rPr>
  </w:style>
  <w:style w:type="paragraph" w:styleId="20">
    <w:name w:val="envelope return"/>
    <w:basedOn w:val="1"/>
    <w:qFormat/>
    <w:uiPriority w:val="0"/>
    <w:pPr>
      <w:snapToGrid w:val="0"/>
      <w:spacing w:line="360" w:lineRule="auto"/>
      <w:ind w:firstLine="200" w:firstLineChars="200"/>
    </w:pPr>
    <w:rPr>
      <w:rFonts w:ascii="Arial" w:hAnsi="Arial" w:cs="Arial"/>
      <w:sz w:val="24"/>
      <w:szCs w:val="24"/>
    </w:rPr>
  </w:style>
  <w:style w:type="paragraph" w:styleId="21">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tabs>
        <w:tab w:val="right" w:leader="dot" w:pos="9060"/>
      </w:tabs>
      <w:spacing w:after="120" w:line="320" w:lineRule="exact"/>
      <w:ind w:firstLine="198"/>
      <w:jc w:val="center"/>
    </w:pPr>
    <w:rPr>
      <w:rFonts w:ascii="宋体" w:hAnsi="宋体" w:cs="Times New Roman"/>
      <w:b/>
      <w:color w:val="000000"/>
      <w:sz w:val="36"/>
      <w:szCs w:val="36"/>
    </w:rPr>
  </w:style>
  <w:style w:type="paragraph" w:styleId="23">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24">
    <w:name w:val="Body Text Indent 3"/>
    <w:basedOn w:val="1"/>
    <w:qFormat/>
    <w:uiPriority w:val="0"/>
    <w:pPr>
      <w:ind w:firstLine="420" w:firstLineChars="150"/>
    </w:pPr>
    <w:rPr>
      <w:sz w:val="28"/>
    </w:rPr>
  </w:style>
  <w:style w:type="paragraph" w:styleId="25">
    <w:name w:val="toc 2"/>
    <w:basedOn w:val="1"/>
    <w:next w:val="1"/>
    <w:semiHidden/>
    <w:qFormat/>
    <w:uiPriority w:val="0"/>
    <w:pPr>
      <w:ind w:left="420" w:leftChars="200"/>
    </w:pPr>
  </w:style>
  <w:style w:type="paragraph" w:styleId="26">
    <w:name w:val="Body Text 2"/>
    <w:basedOn w:val="1"/>
    <w:qFormat/>
    <w:uiPriority w:val="0"/>
    <w:pPr>
      <w:spacing w:line="200" w:lineRule="exact"/>
      <w:jc w:val="center"/>
    </w:pPr>
    <w:rPr>
      <w:rFonts w:ascii="宋体" w:hAnsi="宋体"/>
      <w:color w:val="000000"/>
      <w:sz w:val="18"/>
      <w:szCs w:val="18"/>
    </w:rPr>
  </w:style>
  <w:style w:type="paragraph" w:styleId="2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28">
    <w:name w:val="Normal (Web)"/>
    <w:basedOn w:val="1"/>
    <w:qFormat/>
    <w:uiPriority w:val="0"/>
    <w:pPr>
      <w:widowControl/>
      <w:spacing w:before="100" w:beforeAutospacing="1" w:after="100" w:afterAutospacing="1"/>
      <w:jc w:val="left"/>
    </w:pPr>
    <w:rPr>
      <w:rFonts w:ascii="宋体" w:hAnsi="宋体"/>
      <w:color w:val="000000"/>
      <w:kern w:val="0"/>
      <w:sz w:val="24"/>
    </w:rPr>
  </w:style>
  <w:style w:type="paragraph" w:styleId="29">
    <w:name w:val="Title"/>
    <w:basedOn w:val="1"/>
    <w:next w:val="1"/>
    <w:qFormat/>
    <w:uiPriority w:val="99"/>
    <w:pPr>
      <w:widowControl/>
      <w:tabs>
        <w:tab w:val="left" w:pos="795"/>
        <w:tab w:val="center" w:pos="4156"/>
      </w:tabs>
      <w:spacing w:before="240" w:line="312" w:lineRule="auto"/>
      <w:jc w:val="center"/>
    </w:pPr>
    <w:rPr>
      <w:rFonts w:ascii="黑体" w:hAnsi="黑体" w:eastAsia="黑体"/>
      <w:b/>
      <w:bCs/>
      <w:kern w:val="0"/>
      <w:sz w:val="28"/>
      <w:szCs w:val="32"/>
    </w:rPr>
  </w:style>
  <w:style w:type="paragraph" w:styleId="30">
    <w:name w:val="annotation subject"/>
    <w:basedOn w:val="11"/>
    <w:next w:val="11"/>
    <w:qFormat/>
    <w:uiPriority w:val="0"/>
    <w:rPr>
      <w:b/>
      <w:bCs/>
    </w:rPr>
  </w:style>
  <w:style w:type="paragraph" w:styleId="31">
    <w:name w:val="Body Text First Indent 2"/>
    <w:basedOn w:val="13"/>
    <w:link w:val="47"/>
    <w:qFormat/>
    <w:uiPriority w:val="99"/>
    <w:pPr>
      <w:tabs>
        <w:tab w:val="left" w:pos="360"/>
        <w:tab w:val="left" w:pos="2520"/>
        <w:tab w:val="left" w:pos="3420"/>
      </w:tabs>
      <w:spacing w:after="120" w:line="276" w:lineRule="auto"/>
      <w:ind w:left="420" w:leftChars="200" w:firstLine="420" w:firstLineChars="200"/>
      <w:jc w:val="left"/>
    </w:pPr>
    <w:rPr>
      <w:rFonts w:ascii="Calibri" w:hAnsi="Calibri"/>
      <w:kern w:val="0"/>
      <w:sz w:val="22"/>
      <w:lang w:eastAsia="en-US"/>
    </w:rPr>
  </w:style>
  <w:style w:type="table" w:styleId="33">
    <w:name w:val="Table Grid"/>
    <w:basedOn w:val="32"/>
    <w:unhideWhenUsed/>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styleId="35">
    <w:name w:val="Strong"/>
    <w:qFormat/>
    <w:uiPriority w:val="0"/>
    <w:rPr>
      <w:b/>
      <w:bCs/>
    </w:rPr>
  </w:style>
  <w:style w:type="character" w:styleId="36">
    <w:name w:val="page number"/>
    <w:qFormat/>
    <w:uiPriority w:val="0"/>
  </w:style>
  <w:style w:type="character" w:styleId="37">
    <w:name w:val="FollowedHyperlink"/>
    <w:qFormat/>
    <w:uiPriority w:val="0"/>
    <w:rPr>
      <w:color w:val="800080"/>
      <w:u w:val="none"/>
    </w:rPr>
  </w:style>
  <w:style w:type="character" w:styleId="38">
    <w:name w:val="Hyperlink"/>
    <w:qFormat/>
    <w:uiPriority w:val="99"/>
    <w:rPr>
      <w:color w:val="0000FF"/>
      <w:u w:val="none"/>
    </w:rPr>
  </w:style>
  <w:style w:type="character" w:styleId="39">
    <w:name w:val="annotation reference"/>
    <w:qFormat/>
    <w:uiPriority w:val="0"/>
    <w:rPr>
      <w:sz w:val="21"/>
      <w:szCs w:val="21"/>
    </w:rPr>
  </w:style>
  <w:style w:type="paragraph" w:customStyle="1" w:styleId="40">
    <w:name w:val="Default"/>
    <w:qFormat/>
    <w:uiPriority w:val="0"/>
    <w:pPr>
      <w:widowControl w:val="0"/>
      <w:autoSpaceDE w:val="0"/>
      <w:autoSpaceDN w:val="0"/>
      <w:adjustRightInd w:val="0"/>
    </w:pPr>
    <w:rPr>
      <w:rFonts w:ascii="楷体_GB2312" w:hAnsi="Times New Roman" w:eastAsia="楷体_GB2312" w:cs="楷体_GB2312"/>
      <w:color w:val="000000"/>
      <w:sz w:val="24"/>
      <w:szCs w:val="24"/>
      <w:lang w:val="en-US" w:eastAsia="zh-CN" w:bidi="ar-SA"/>
    </w:rPr>
  </w:style>
  <w:style w:type="character" w:customStyle="1" w:styleId="41">
    <w:name w:val="标题 1 字符"/>
    <w:link w:val="2"/>
    <w:qFormat/>
    <w:uiPriority w:val="0"/>
    <w:rPr>
      <w:rFonts w:ascii="宋体" w:hAnsi="Courier New"/>
      <w:b/>
      <w:bCs/>
      <w:kern w:val="44"/>
      <w:sz w:val="44"/>
      <w:szCs w:val="44"/>
    </w:rPr>
  </w:style>
  <w:style w:type="character" w:customStyle="1" w:styleId="42">
    <w:name w:val="批注文字 Char"/>
    <w:link w:val="11"/>
    <w:qFormat/>
    <w:uiPriority w:val="0"/>
    <w:rPr>
      <w:rFonts w:eastAsia="宋体"/>
      <w:kern w:val="2"/>
      <w:sz w:val="21"/>
      <w:szCs w:val="24"/>
      <w:lang w:val="en-US" w:eastAsia="zh-CN" w:bidi="ar-SA"/>
    </w:rPr>
  </w:style>
  <w:style w:type="character" w:customStyle="1" w:styleId="43">
    <w:name w:val="正文文本 Char"/>
    <w:link w:val="12"/>
    <w:qFormat/>
    <w:locked/>
    <w:uiPriority w:val="0"/>
    <w:rPr>
      <w:rFonts w:ascii="宋体" w:hAnsi="宋体"/>
      <w:kern w:val="2"/>
      <w:sz w:val="24"/>
      <w:szCs w:val="24"/>
    </w:rPr>
  </w:style>
  <w:style w:type="character" w:customStyle="1" w:styleId="44">
    <w:name w:val="正文文本缩进 Char"/>
    <w:link w:val="13"/>
    <w:qFormat/>
    <w:uiPriority w:val="99"/>
    <w:rPr>
      <w:rFonts w:ascii="宋体" w:hAnsi="宋体"/>
      <w:kern w:val="2"/>
      <w:sz w:val="28"/>
      <w:szCs w:val="24"/>
    </w:rPr>
  </w:style>
  <w:style w:type="character" w:customStyle="1" w:styleId="45">
    <w:name w:val="纯文本 Char"/>
    <w:link w:val="15"/>
    <w:qFormat/>
    <w:uiPriority w:val="0"/>
    <w:rPr>
      <w:rFonts w:ascii="宋体" w:hAnsi="Courier New" w:eastAsia="宋体"/>
      <w:kern w:val="2"/>
      <w:sz w:val="21"/>
      <w:lang w:val="en-US" w:eastAsia="zh-CN" w:bidi="ar-SA"/>
    </w:rPr>
  </w:style>
  <w:style w:type="character" w:customStyle="1" w:styleId="46">
    <w:name w:val="页眉 Char"/>
    <w:link w:val="21"/>
    <w:qFormat/>
    <w:uiPriority w:val="99"/>
    <w:rPr>
      <w:kern w:val="2"/>
      <w:sz w:val="18"/>
      <w:szCs w:val="18"/>
    </w:rPr>
  </w:style>
  <w:style w:type="character" w:customStyle="1" w:styleId="47">
    <w:name w:val="正文首行缩进 2 Char"/>
    <w:link w:val="31"/>
    <w:qFormat/>
    <w:uiPriority w:val="99"/>
    <w:rPr>
      <w:rFonts w:ascii="Calibri" w:hAnsi="Calibri"/>
      <w:sz w:val="22"/>
      <w:szCs w:val="24"/>
      <w:lang w:eastAsia="en-US"/>
    </w:rPr>
  </w:style>
  <w:style w:type="character" w:customStyle="1" w:styleId="48">
    <w:name w:val="标题 1 Char"/>
    <w:basedOn w:val="34"/>
    <w:link w:val="2"/>
    <w:qFormat/>
    <w:uiPriority w:val="0"/>
    <w:rPr>
      <w:rFonts w:ascii="宋体" w:hAnsi="Courier New"/>
      <w:b/>
      <w:bCs/>
      <w:kern w:val="44"/>
      <w:sz w:val="44"/>
      <w:szCs w:val="44"/>
    </w:rPr>
  </w:style>
  <w:style w:type="paragraph" w:customStyle="1" w:styleId="49">
    <w:name w:val="_Style 2"/>
    <w:basedOn w:val="1"/>
    <w:next w:val="1"/>
    <w:unhideWhenUsed/>
    <w:qFormat/>
    <w:uiPriority w:val="99"/>
    <w:pPr>
      <w:ind w:firstLine="420" w:firstLineChars="200"/>
    </w:pPr>
  </w:style>
  <w:style w:type="character" w:customStyle="1" w:styleId="50">
    <w:name w:val="标题 2 Char Char Char Char Char Char Char Char Char Char Char Char Char Char Char Char Char Char Char Char Char"/>
    <w:qFormat/>
    <w:uiPriority w:val="0"/>
  </w:style>
  <w:style w:type="character" w:customStyle="1" w:styleId="51">
    <w:name w:val="font21"/>
    <w:basedOn w:val="34"/>
    <w:qFormat/>
    <w:uiPriority w:val="0"/>
    <w:rPr>
      <w:rFonts w:hint="eastAsia" w:ascii="宋体" w:hAnsi="宋体" w:eastAsia="宋体" w:cs="宋体"/>
      <w:color w:val="000000"/>
      <w:sz w:val="22"/>
      <w:szCs w:val="22"/>
      <w:u w:val="none"/>
    </w:rPr>
  </w:style>
  <w:style w:type="character" w:customStyle="1" w:styleId="52">
    <w:name w:val="font11"/>
    <w:basedOn w:val="34"/>
    <w:qFormat/>
    <w:uiPriority w:val="0"/>
    <w:rPr>
      <w:rFonts w:hint="eastAsia" w:ascii="宋体" w:hAnsi="宋体" w:eastAsia="宋体" w:cs="宋体"/>
      <w:color w:val="FF0000"/>
      <w:sz w:val="22"/>
      <w:szCs w:val="22"/>
      <w:u w:val="none"/>
    </w:rPr>
  </w:style>
  <w:style w:type="character" w:customStyle="1" w:styleId="53">
    <w:name w:val="style201"/>
    <w:qFormat/>
    <w:uiPriority w:val="0"/>
    <w:rPr>
      <w:sz w:val="27"/>
      <w:szCs w:val="27"/>
    </w:rPr>
  </w:style>
  <w:style w:type="character" w:customStyle="1" w:styleId="54">
    <w:name w:val="style121"/>
    <w:qFormat/>
    <w:uiPriority w:val="0"/>
    <w:rPr>
      <w:b/>
      <w:bCs/>
      <w:color w:val="000000"/>
    </w:rPr>
  </w:style>
  <w:style w:type="character" w:customStyle="1" w:styleId="55">
    <w:name w:val="ca-12"/>
    <w:qFormat/>
    <w:uiPriority w:val="0"/>
  </w:style>
  <w:style w:type="character" w:customStyle="1" w:styleId="56">
    <w:name w:val="font01"/>
    <w:basedOn w:val="34"/>
    <w:qFormat/>
    <w:uiPriority w:val="0"/>
    <w:rPr>
      <w:rFonts w:hint="eastAsia" w:ascii="宋体" w:hAnsi="宋体" w:eastAsia="宋体" w:cs="宋体"/>
      <w:color w:val="000000"/>
      <w:sz w:val="24"/>
      <w:szCs w:val="24"/>
      <w:u w:val="none"/>
    </w:rPr>
  </w:style>
  <w:style w:type="character" w:customStyle="1" w:styleId="57">
    <w:name w:val="dw41"/>
    <w:qFormat/>
    <w:uiPriority w:val="0"/>
    <w:rPr>
      <w:color w:val="FFFFFF"/>
      <w:sz w:val="18"/>
      <w:szCs w:val="18"/>
      <w:u w:val="none"/>
    </w:rPr>
  </w:style>
  <w:style w:type="character" w:customStyle="1" w:styleId="58">
    <w:name w:val="未处理的提及1"/>
    <w:unhideWhenUsed/>
    <w:qFormat/>
    <w:uiPriority w:val="99"/>
    <w:rPr>
      <w:color w:val="605E5C"/>
      <w:shd w:val="clear" w:color="auto" w:fill="E1DFDD"/>
    </w:rPr>
  </w:style>
  <w:style w:type="character" w:customStyle="1" w:styleId="59">
    <w:name w:val="style1"/>
    <w:qFormat/>
    <w:uiPriority w:val="0"/>
  </w:style>
  <w:style w:type="character" w:customStyle="1" w:styleId="60">
    <w:name w:val="f101"/>
    <w:qFormat/>
    <w:uiPriority w:val="0"/>
    <w:rPr>
      <w:sz w:val="20"/>
      <w:szCs w:val="20"/>
    </w:rPr>
  </w:style>
  <w:style w:type="character" w:customStyle="1" w:styleId="61">
    <w:name w:val="16"/>
    <w:qFormat/>
    <w:uiPriority w:val="0"/>
    <w:rPr>
      <w:rFonts w:hint="default" w:ascii="Times New Roman" w:hAnsi="Times New Roman" w:cs="Times New Roman"/>
    </w:rPr>
  </w:style>
  <w:style w:type="character" w:customStyle="1" w:styleId="62">
    <w:name w:val="span_paramvalue"/>
    <w:qFormat/>
    <w:uiPriority w:val="0"/>
  </w:style>
  <w:style w:type="character" w:customStyle="1" w:styleId="63">
    <w:name w:val="e1"/>
    <w:qFormat/>
    <w:uiPriority w:val="0"/>
  </w:style>
  <w:style w:type="character" w:customStyle="1" w:styleId="64">
    <w:name w:val="条款样式 Char"/>
    <w:link w:val="65"/>
    <w:qFormat/>
    <w:locked/>
    <w:uiPriority w:val="0"/>
    <w:rPr>
      <w:rFonts w:ascii="Calibri" w:hAnsi="Calibri" w:eastAsia="宋体"/>
      <w:kern w:val="2"/>
      <w:sz w:val="21"/>
      <w:szCs w:val="22"/>
      <w:lang w:val="en-US" w:eastAsia="zh-CN" w:bidi="ar-SA"/>
    </w:rPr>
  </w:style>
  <w:style w:type="paragraph" w:customStyle="1" w:styleId="65">
    <w:name w:val="条款样式"/>
    <w:basedOn w:val="1"/>
    <w:link w:val="64"/>
    <w:qFormat/>
    <w:uiPriority w:val="0"/>
    <w:pPr>
      <w:tabs>
        <w:tab w:val="left" w:pos="770"/>
      </w:tabs>
      <w:spacing w:line="440" w:lineRule="exact"/>
      <w:ind w:left="770" w:hanging="770"/>
      <w:jc w:val="left"/>
    </w:pPr>
    <w:rPr>
      <w:rFonts w:ascii="Calibri" w:hAnsi="Calibri"/>
      <w:szCs w:val="22"/>
    </w:rPr>
  </w:style>
  <w:style w:type="character" w:customStyle="1" w:styleId="66">
    <w:name w:val="bar_info2"/>
    <w:qFormat/>
    <w:uiPriority w:val="0"/>
  </w:style>
  <w:style w:type="character" w:customStyle="1" w:styleId="67">
    <w:name w:val="页脚 Char"/>
    <w:qFormat/>
    <w:uiPriority w:val="99"/>
    <w:rPr>
      <w:sz w:val="18"/>
      <w:szCs w:val="18"/>
    </w:rPr>
  </w:style>
  <w:style w:type="character" w:customStyle="1" w:styleId="68">
    <w:name w:val="huei12b1"/>
    <w:qFormat/>
    <w:uiPriority w:val="0"/>
    <w:rPr>
      <w:b/>
      <w:bCs/>
      <w:color w:val="333333"/>
      <w:sz w:val="18"/>
      <w:szCs w:val="18"/>
    </w:rPr>
  </w:style>
  <w:style w:type="character" w:customStyle="1" w:styleId="69">
    <w:name w:val="unnamed11"/>
    <w:qFormat/>
    <w:uiPriority w:val="0"/>
    <w:rPr>
      <w:sz w:val="18"/>
      <w:szCs w:val="18"/>
    </w:rPr>
  </w:style>
  <w:style w:type="character" w:customStyle="1" w:styleId="70">
    <w:name w:val="gray_91"/>
    <w:qFormat/>
    <w:uiPriority w:val="0"/>
    <w:rPr>
      <w:rFonts w:hint="default" w:ascii="ˎ̥" w:hAnsi="ˎ̥"/>
      <w:color w:val="666666"/>
      <w:sz w:val="18"/>
      <w:szCs w:val="18"/>
    </w:rPr>
  </w:style>
  <w:style w:type="character" w:customStyle="1" w:styleId="71">
    <w:name w:val="font9"/>
    <w:qFormat/>
    <w:uiPriority w:val="0"/>
  </w:style>
  <w:style w:type="character" w:customStyle="1" w:styleId="72">
    <w:name w:val="up"/>
    <w:qFormat/>
    <w:uiPriority w:val="0"/>
  </w:style>
  <w:style w:type="character" w:customStyle="1" w:styleId="73">
    <w:name w:val="f10b"/>
    <w:qFormat/>
    <w:uiPriority w:val="0"/>
  </w:style>
  <w:style w:type="character" w:customStyle="1" w:styleId="74">
    <w:name w:val="hei12b1"/>
    <w:qFormat/>
    <w:uiPriority w:val="0"/>
    <w:rPr>
      <w:b/>
      <w:bCs/>
      <w:color w:val="000000"/>
      <w:sz w:val="18"/>
      <w:szCs w:val="18"/>
    </w:rPr>
  </w:style>
  <w:style w:type="character" w:customStyle="1" w:styleId="75">
    <w:name w:val="dash6b63-6587--char"/>
    <w:qFormat/>
    <w:uiPriority w:val="0"/>
  </w:style>
  <w:style w:type="character" w:customStyle="1" w:styleId="76">
    <w:name w:val="15"/>
    <w:basedOn w:val="34"/>
    <w:qFormat/>
    <w:uiPriority w:val="0"/>
    <w:rPr>
      <w:rFonts w:hint="eastAsia" w:ascii="宋体" w:hAnsi="宋体" w:eastAsia="宋体" w:cs="宋体"/>
      <w:b/>
      <w:kern w:val="44"/>
      <w:sz w:val="32"/>
      <w:szCs w:val="32"/>
    </w:rPr>
  </w:style>
  <w:style w:type="character" w:customStyle="1" w:styleId="77">
    <w:name w:val="fontbold"/>
    <w:qFormat/>
    <w:uiPriority w:val="0"/>
    <w:rPr>
      <w:rFonts w:ascii="Tahoma" w:hAnsi="Tahoma" w:eastAsia="宋体" w:cs="宋体"/>
      <w:sz w:val="24"/>
      <w:lang w:val="en-US" w:eastAsia="zh-CN" w:bidi="ar-SA"/>
    </w:rPr>
  </w:style>
  <w:style w:type="character" w:customStyle="1" w:styleId="78">
    <w:name w:val="10"/>
    <w:qFormat/>
    <w:uiPriority w:val="0"/>
    <w:rPr>
      <w:rFonts w:hint="default" w:ascii="Times New Roman" w:hAnsi="Times New Roman" w:cs="Times New Roman"/>
    </w:rPr>
  </w:style>
  <w:style w:type="character" w:customStyle="1" w:styleId="79">
    <w:name w:val="B Char"/>
    <w:link w:val="80"/>
    <w:qFormat/>
    <w:uiPriority w:val="0"/>
    <w:rPr>
      <w:rFonts w:ascii="E-F1" w:eastAsia="黑体"/>
      <w:kern w:val="2"/>
      <w:sz w:val="21"/>
      <w:szCs w:val="21"/>
      <w:lang w:val="en-US" w:eastAsia="zh-CN" w:bidi="ar-SA"/>
    </w:rPr>
  </w:style>
  <w:style w:type="paragraph" w:customStyle="1" w:styleId="80">
    <w:name w:val="B"/>
    <w:basedOn w:val="81"/>
    <w:link w:val="79"/>
    <w:qFormat/>
    <w:uiPriority w:val="0"/>
    <w:pPr>
      <w:tabs>
        <w:tab w:val="center" w:pos="4706"/>
        <w:tab w:val="right" w:pos="9044"/>
      </w:tabs>
    </w:pPr>
    <w:rPr>
      <w:rFonts w:ascii="E-F1"/>
      <w:kern w:val="2"/>
    </w:rPr>
  </w:style>
  <w:style w:type="paragraph" w:customStyle="1" w:styleId="81">
    <w:name w:val="表头"/>
    <w:basedOn w:val="1"/>
    <w:semiHidden/>
    <w:qFormat/>
    <w:uiPriority w:val="0"/>
    <w:pPr>
      <w:topLinePunct/>
      <w:spacing w:before="160" w:after="60" w:line="312" w:lineRule="exact"/>
      <w:jc w:val="center"/>
    </w:pPr>
    <w:rPr>
      <w:rFonts w:ascii="EU-F1" w:eastAsia="黑体"/>
      <w:kern w:val="0"/>
      <w:szCs w:val="21"/>
    </w:rPr>
  </w:style>
  <w:style w:type="character" w:customStyle="1" w:styleId="82">
    <w:name w:val="纯文本 Char2"/>
    <w:qFormat/>
    <w:uiPriority w:val="0"/>
    <w:rPr>
      <w:rFonts w:ascii="宋体" w:hAnsi="Courier New" w:eastAsia="宋体"/>
      <w:kern w:val="2"/>
      <w:sz w:val="21"/>
      <w:lang w:val="en-US" w:eastAsia="zh-CN" w:bidi="ar-SA"/>
    </w:rPr>
  </w:style>
  <w:style w:type="paragraph" w:customStyle="1" w:styleId="83">
    <w:name w:val="样式4"/>
    <w:basedOn w:val="1"/>
    <w:qFormat/>
    <w:uiPriority w:val="0"/>
    <w:pPr>
      <w:adjustRightInd/>
      <w:spacing w:line="240" w:lineRule="auto"/>
      <w:jc w:val="both"/>
      <w:textAlignment w:val="auto"/>
    </w:pPr>
    <w:rPr>
      <w:kern w:val="2"/>
      <w:sz w:val="21"/>
      <w:szCs w:val="21"/>
    </w:rPr>
  </w:style>
  <w:style w:type="paragraph" w:customStyle="1" w:styleId="84">
    <w:name w:val="Date"/>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85">
    <w:name w:val="QB正文"/>
    <w:basedOn w:val="1"/>
    <w:qFormat/>
    <w:uiPriority w:val="0"/>
    <w:pPr>
      <w:widowControl/>
      <w:autoSpaceDE w:val="0"/>
      <w:autoSpaceDN w:val="0"/>
      <w:ind w:firstLine="200" w:firstLineChars="200"/>
    </w:pPr>
    <w:rPr>
      <w:rFonts w:ascii="宋体" w:hAnsi="Times New Roman" w:eastAsia="宋体" w:cs="Times New Roman"/>
      <w:kern w:val="0"/>
      <w:szCs w:val="20"/>
    </w:rPr>
  </w:style>
  <w:style w:type="paragraph" w:customStyle="1" w:styleId="86">
    <w:name w:val="xl27"/>
    <w:basedOn w:val="1"/>
    <w:qFormat/>
    <w:uiPriority w:val="0"/>
    <w:pPr>
      <w:widowControl/>
      <w:spacing w:before="100" w:beforeAutospacing="1" w:after="100" w:afterAutospacing="1"/>
      <w:jc w:val="center"/>
    </w:pPr>
    <w:rPr>
      <w:rFonts w:ascii="Arial" w:hAnsi="Arial" w:eastAsia="Arial Unicode MS" w:cs="Arial"/>
      <w:kern w:val="0"/>
      <w:sz w:val="20"/>
      <w:szCs w:val="20"/>
    </w:rPr>
  </w:style>
  <w:style w:type="paragraph" w:customStyle="1" w:styleId="87">
    <w:name w:val="Aufzählung"/>
    <w:basedOn w:val="1"/>
    <w:next w:val="1"/>
    <w:qFormat/>
    <w:uiPriority w:val="0"/>
    <w:pPr>
      <w:keepLines/>
      <w:widowControl/>
      <w:numPr>
        <w:ilvl w:val="0"/>
        <w:numId w:val="1"/>
      </w:numPr>
      <w:tabs>
        <w:tab w:val="left" w:pos="113"/>
        <w:tab w:val="clear" w:pos="360"/>
      </w:tabs>
      <w:spacing w:line="228" w:lineRule="exact"/>
      <w:jc w:val="left"/>
    </w:pPr>
    <w:rPr>
      <w:rFonts w:ascii="MetaPlusLF" w:hAnsi="MetaPlusLF"/>
      <w:kern w:val="0"/>
      <w:sz w:val="15"/>
      <w:szCs w:val="20"/>
      <w:lang w:val="de-DE" w:eastAsia="de-DE"/>
    </w:rPr>
  </w:style>
  <w:style w:type="paragraph" w:customStyle="1" w:styleId="88">
    <w:name w:val=" Char Char Char Char Char Char"/>
    <w:basedOn w:val="1"/>
    <w:qFormat/>
    <w:uiPriority w:val="0"/>
    <w:rPr>
      <w:szCs w:val="21"/>
    </w:rPr>
  </w:style>
  <w:style w:type="paragraph" w:customStyle="1" w:styleId="89">
    <w:name w:val="pa-7"/>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90">
    <w:name w:val="Table Paragraph"/>
    <w:basedOn w:val="1"/>
    <w:qFormat/>
    <w:uiPriority w:val="1"/>
  </w:style>
  <w:style w:type="paragraph" w:customStyle="1" w:styleId="91">
    <w:name w:val="正文1"/>
    <w:basedOn w:val="1"/>
    <w:qFormat/>
    <w:uiPriority w:val="0"/>
    <w:pPr>
      <w:adjustRightInd w:val="0"/>
      <w:spacing w:line="360" w:lineRule="atLeast"/>
      <w:jc w:val="left"/>
      <w:textAlignment w:val="baseline"/>
    </w:pPr>
    <w:rPr>
      <w:rFonts w:ascii="宋体"/>
      <w:kern w:val="0"/>
      <w:sz w:val="24"/>
    </w:rPr>
  </w:style>
  <w:style w:type="paragraph" w:customStyle="1" w:styleId="92">
    <w:name w:val="样式3"/>
    <w:basedOn w:val="1"/>
    <w:qFormat/>
    <w:uiPriority w:val="0"/>
    <w:pPr>
      <w:adjustRightInd w:val="0"/>
      <w:spacing w:line="360" w:lineRule="auto"/>
      <w:ind w:left="284" w:right="284" w:firstLine="74"/>
      <w:jc w:val="left"/>
      <w:textAlignment w:val="baseline"/>
    </w:pPr>
    <w:rPr>
      <w:rFonts w:ascii="宋体"/>
      <w:kern w:val="0"/>
      <w:sz w:val="24"/>
      <w:szCs w:val="20"/>
    </w:rPr>
  </w:style>
  <w:style w:type="paragraph" w:customStyle="1" w:styleId="93">
    <w:name w:val="正文(缩进)"/>
    <w:basedOn w:val="1"/>
    <w:qFormat/>
    <w:uiPriority w:val="0"/>
    <w:pPr>
      <w:spacing w:line="360" w:lineRule="auto"/>
      <w:ind w:firstLine="200" w:firstLineChars="200"/>
    </w:pPr>
    <w:rPr>
      <w:kern w:val="2"/>
      <w:sz w:val="24"/>
      <w:szCs w:val="24"/>
    </w:rPr>
  </w:style>
  <w:style w:type="paragraph" w:customStyle="1" w:styleId="94">
    <w:name w:val="_Style 93"/>
    <w:unhideWhenUsed/>
    <w:qFormat/>
    <w:uiPriority w:val="99"/>
    <w:rPr>
      <w:rFonts w:ascii="Times New Roman" w:hAnsi="Times New Roman" w:eastAsia="宋体" w:cs="Times New Roman"/>
      <w:kern w:val="2"/>
      <w:sz w:val="21"/>
      <w:szCs w:val="24"/>
      <w:lang w:val="en-US" w:eastAsia="zh-CN" w:bidi="ar-SA"/>
    </w:rPr>
  </w:style>
  <w:style w:type="paragraph" w:customStyle="1" w:styleId="95">
    <w:name w:val="List Paragraph1"/>
    <w:basedOn w:val="1"/>
    <w:qFormat/>
    <w:uiPriority w:val="0"/>
    <w:pPr>
      <w:widowControl/>
      <w:ind w:left="720"/>
      <w:contextualSpacing/>
      <w:jc w:val="left"/>
    </w:pPr>
    <w:rPr>
      <w:rFonts w:eastAsia="Times New Roman"/>
      <w:kern w:val="0"/>
      <w:sz w:val="24"/>
    </w:rPr>
  </w:style>
  <w:style w:type="paragraph" w:customStyle="1" w:styleId="96">
    <w:name w:val="ZGY电动机表格2中"/>
    <w:qFormat/>
    <w:uiPriority w:val="0"/>
    <w:pPr>
      <w:keepNext/>
      <w:widowControl w:val="0"/>
      <w:spacing w:line="300" w:lineRule="auto"/>
      <w:ind w:left="85" w:right="85"/>
      <w:jc w:val="center"/>
    </w:pPr>
    <w:rPr>
      <w:rFonts w:ascii="宋体" w:hAnsi="宋体" w:eastAsia="宋体" w:cs="Courier New"/>
      <w:kern w:val="2"/>
      <w:sz w:val="21"/>
      <w:szCs w:val="21"/>
      <w:lang w:val="en-US" w:eastAsia="zh-CN" w:bidi="ar-SA"/>
    </w:rPr>
  </w:style>
  <w:style w:type="paragraph" w:customStyle="1" w:styleId="97">
    <w:name w:val="样式 正文首行缩进 2 + 首行缩进:  2 字符"/>
    <w:basedOn w:val="31"/>
    <w:qFormat/>
    <w:uiPriority w:val="0"/>
    <w:pPr>
      <w:tabs>
        <w:tab w:val="clear" w:pos="360"/>
        <w:tab w:val="clear" w:pos="2520"/>
        <w:tab w:val="clear" w:pos="3420"/>
      </w:tabs>
      <w:adjustRightInd w:val="0"/>
      <w:snapToGrid w:val="0"/>
      <w:spacing w:after="0" w:line="360" w:lineRule="auto"/>
      <w:ind w:left="0" w:leftChars="0" w:firstLine="480"/>
    </w:pPr>
    <w:rPr>
      <w:rFonts w:ascii="Times New Roman" w:hAnsi="Times New Roman" w:cs="宋体"/>
      <w:snapToGrid w:val="0"/>
      <w:sz w:val="24"/>
      <w:szCs w:val="20"/>
      <w:lang w:eastAsia="zh-CN"/>
    </w:rPr>
  </w:style>
  <w:style w:type="paragraph" w:customStyle="1" w:styleId="98">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99">
    <w:name w:val="Char Char Char"/>
    <w:basedOn w:val="1"/>
    <w:qFormat/>
    <w:uiPriority w:val="0"/>
    <w:rPr>
      <w:rFonts w:ascii="Tahoma" w:hAnsi="Tahoma"/>
      <w:sz w:val="24"/>
      <w:szCs w:val="20"/>
    </w:rPr>
  </w:style>
  <w:style w:type="paragraph" w:customStyle="1" w:styleId="100">
    <w:name w:val=" Char1"/>
    <w:basedOn w:val="1"/>
    <w:qFormat/>
    <w:uiPriority w:val="0"/>
    <w:rPr>
      <w:rFonts w:ascii="Tahoma" w:hAnsi="Tahoma"/>
      <w:sz w:val="24"/>
      <w:szCs w:val="20"/>
    </w:rPr>
  </w:style>
  <w:style w:type="paragraph" w:customStyle="1" w:styleId="101">
    <w:name w:val="_Style 1"/>
    <w:basedOn w:val="1"/>
    <w:qFormat/>
    <w:uiPriority w:val="0"/>
    <w:pPr>
      <w:ind w:firstLine="420" w:firstLineChars="200"/>
    </w:pPr>
  </w:style>
  <w:style w:type="paragraph" w:customStyle="1" w:styleId="102">
    <w:name w:val=" Char Char Char"/>
    <w:basedOn w:val="1"/>
    <w:qFormat/>
    <w:uiPriority w:val="0"/>
    <w:rPr>
      <w:rFonts w:ascii="Tahoma" w:hAnsi="Tahoma"/>
      <w:sz w:val="24"/>
      <w:szCs w:val="20"/>
    </w:rPr>
  </w:style>
  <w:style w:type="paragraph" w:customStyle="1" w:styleId="103">
    <w:name w:val=" Char1 Char Char Char"/>
    <w:basedOn w:val="1"/>
    <w:qFormat/>
    <w:uiPriority w:val="0"/>
    <w:pPr>
      <w:spacing w:line="360" w:lineRule="auto"/>
    </w:pPr>
    <w:rPr>
      <w:rFonts w:ascii="Tahoma" w:hAnsi="Tahoma"/>
      <w:sz w:val="24"/>
      <w:szCs w:val="20"/>
    </w:rPr>
  </w:style>
  <w:style w:type="paragraph" w:customStyle="1" w:styleId="104">
    <w:name w:val="Char Char Char Char"/>
    <w:basedOn w:val="1"/>
    <w:qFormat/>
    <w:uiPriority w:val="0"/>
  </w:style>
  <w:style w:type="paragraph" w:customStyle="1" w:styleId="105">
    <w:name w:val=" Char Char Char Char Char Char Char Char Char Char"/>
    <w:basedOn w:val="1"/>
    <w:qFormat/>
    <w:uiPriority w:val="0"/>
    <w:pPr>
      <w:tabs>
        <w:tab w:val="left" w:pos="360"/>
      </w:tabs>
      <w:ind w:left="360" w:hanging="360" w:hangingChars="200"/>
    </w:pPr>
    <w:rPr>
      <w:sz w:val="24"/>
    </w:rPr>
  </w:style>
  <w:style w:type="paragraph" w:customStyle="1" w:styleId="106">
    <w:name w:val=" Char Char Char Char"/>
    <w:basedOn w:val="1"/>
    <w:qFormat/>
    <w:uiPriority w:val="0"/>
    <w:rPr>
      <w:rFonts w:ascii="Tahoma" w:hAnsi="Tahoma"/>
      <w:sz w:val="24"/>
      <w:szCs w:val="20"/>
    </w:rPr>
  </w:style>
  <w:style w:type="paragraph" w:customStyle="1" w:styleId="107">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108">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109">
    <w:name w:val="Char"/>
    <w:basedOn w:val="9"/>
    <w:qFormat/>
    <w:uiPriority w:val="0"/>
    <w:pPr>
      <w:widowControl/>
    </w:pPr>
    <w:rPr>
      <w:rFonts w:ascii="Tahoma" w:hAnsi="Tahoma"/>
      <w:sz w:val="24"/>
    </w:rPr>
  </w:style>
  <w:style w:type="paragraph" w:customStyle="1" w:styleId="110">
    <w:name w:val="样式1"/>
    <w:basedOn w:val="1"/>
    <w:qFormat/>
    <w:uiPriority w:val="0"/>
    <w:pPr>
      <w:widowControl/>
      <w:jc w:val="center"/>
    </w:pPr>
    <w:rPr>
      <w:rFonts w:ascii="宋体" w:hAnsi="宋体" w:cs="Arial"/>
      <w:bCs/>
      <w:kern w:val="0"/>
      <w:sz w:val="24"/>
      <w:u w:val="single"/>
    </w:rPr>
  </w:style>
  <w:style w:type="paragraph" w:customStyle="1" w:styleId="111">
    <w:name w:val=" Char"/>
    <w:basedOn w:val="9"/>
    <w:qFormat/>
    <w:uiPriority w:val="0"/>
    <w:pPr>
      <w:widowControl/>
    </w:pPr>
    <w:rPr>
      <w:rFonts w:ascii="Tahoma" w:hAnsi="Tahoma"/>
      <w:sz w:val="24"/>
    </w:rPr>
  </w:style>
  <w:style w:type="paragraph" w:customStyle="1" w:styleId="112">
    <w:name w:val="大标题"/>
    <w:basedOn w:val="29"/>
    <w:next w:val="31"/>
    <w:qFormat/>
    <w:uiPriority w:val="0"/>
    <w:pPr>
      <w:adjustRightInd w:val="0"/>
      <w:spacing w:line="360" w:lineRule="auto"/>
      <w:ind w:firstLine="200" w:firstLineChars="200"/>
    </w:pPr>
    <w:rPr>
      <w:rFonts w:ascii="宋体" w:hAnsi="宋体"/>
      <w:bCs w:val="0"/>
      <w:kern w:val="0"/>
      <w:szCs w:val="20"/>
      <w:lang w:val="en-US" w:eastAsia="zh-CN"/>
    </w:rPr>
  </w:style>
  <w:style w:type="paragraph" w:customStyle="1" w:styleId="113">
    <w:name w:val="默认段落字体 Para Char Char Char Char Char Char Char Char Char Char Char Char Char Char Char1 Char Char Char Char"/>
    <w:basedOn w:val="9"/>
    <w:qFormat/>
    <w:uiPriority w:val="0"/>
    <w:pPr>
      <w:adjustRightInd w:val="0"/>
      <w:spacing w:line="436" w:lineRule="exact"/>
      <w:ind w:left="357"/>
      <w:jc w:val="left"/>
      <w:outlineLvl w:val="3"/>
    </w:pPr>
    <w:rPr>
      <w:rFonts w:ascii="Tahoma" w:hAnsi="Tahoma"/>
      <w:b/>
      <w:sz w:val="24"/>
    </w:rPr>
  </w:style>
  <w:style w:type="paragraph" w:customStyle="1" w:styleId="114">
    <w:name w:val="1"/>
    <w:basedOn w:val="1"/>
    <w:next w:val="17"/>
    <w:qFormat/>
    <w:uiPriority w:val="0"/>
    <w:pPr>
      <w:spacing w:line="360" w:lineRule="auto"/>
      <w:ind w:firstLine="480" w:firstLineChars="200"/>
    </w:pPr>
    <w:rPr>
      <w:rFonts w:ascii="华文细黑" w:hAnsi="华文细黑" w:eastAsia="华文细黑"/>
      <w:sz w:val="24"/>
    </w:rPr>
  </w:style>
  <w:style w:type="paragraph" w:customStyle="1" w:styleId="115">
    <w:name w:val="样式2"/>
    <w:basedOn w:val="110"/>
    <w:qFormat/>
    <w:uiPriority w:val="0"/>
    <w:pPr>
      <w:ind w:firstLine="0"/>
    </w:pPr>
    <w:rPr>
      <w:rFonts w:ascii="Times New Roman"/>
    </w:rPr>
  </w:style>
  <w:style w:type="paragraph" w:customStyle="1" w:styleId="116">
    <w:name w:val="表格侧编号"/>
    <w:next w:val="1"/>
    <w:qFormat/>
    <w:uiPriority w:val="0"/>
    <w:pPr>
      <w:snapToGrid w:val="0"/>
      <w:spacing w:line="360" w:lineRule="auto"/>
      <w:jc w:val="center"/>
    </w:pPr>
    <w:rPr>
      <w:rFonts w:ascii="黑体" w:hAnsi="宋体" w:eastAsia="黑体" w:cs="Times New Roman"/>
      <w:kern w:val="2"/>
      <w:sz w:val="24"/>
      <w:szCs w:val="24"/>
      <w:lang w:val="en-US" w:eastAsia="zh-CN" w:bidi="ar-SA"/>
    </w:rPr>
  </w:style>
  <w:style w:type="paragraph" w:customStyle="1" w:styleId="117">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pit正文"/>
    <w:basedOn w:val="1"/>
    <w:qFormat/>
    <w:uiPriority w:val="0"/>
    <w:pPr>
      <w:spacing w:line="400" w:lineRule="exact"/>
    </w:pPr>
    <w:rPr>
      <w:spacing w:val="20"/>
      <w:sz w:val="24"/>
      <w:szCs w:val="20"/>
    </w:rPr>
  </w:style>
  <w:style w:type="paragraph" w:customStyle="1" w:styleId="119">
    <w:name w:val="ZGY电动机表格1左"/>
    <w:qFormat/>
    <w:uiPriority w:val="0"/>
    <w:pPr>
      <w:keepNext/>
      <w:widowControl w:val="0"/>
      <w:spacing w:line="300" w:lineRule="auto"/>
      <w:ind w:left="85" w:right="85"/>
      <w:jc w:val="both"/>
    </w:pPr>
    <w:rPr>
      <w:rFonts w:ascii="宋体" w:hAnsi="宋体" w:eastAsia="宋体" w:cs="Courier New"/>
      <w:kern w:val="2"/>
      <w:sz w:val="21"/>
      <w:szCs w:val="21"/>
      <w:lang w:val="en-US" w:eastAsia="zh-CN" w:bidi="ar-SA"/>
    </w:rPr>
  </w:style>
  <w:style w:type="paragraph" w:customStyle="1" w:styleId="120">
    <w:name w:val="Char Char2"/>
    <w:basedOn w:val="9"/>
    <w:qFormat/>
    <w:uiPriority w:val="0"/>
  </w:style>
  <w:style w:type="paragraph" w:customStyle="1" w:styleId="121">
    <w:name w:val="列出段落1"/>
    <w:basedOn w:val="1"/>
    <w:qFormat/>
    <w:uiPriority w:val="34"/>
    <w:pPr>
      <w:ind w:firstLine="420" w:firstLineChars="200"/>
    </w:pPr>
    <w:rPr>
      <w:rFonts w:ascii="Calibri" w:hAnsi="Calibri"/>
      <w:szCs w:val="22"/>
    </w:rPr>
  </w:style>
  <w:style w:type="paragraph" w:customStyle="1" w:styleId="122">
    <w:name w:val="Plain Text1"/>
    <w:basedOn w:val="1"/>
    <w:qFormat/>
    <w:uiPriority w:val="0"/>
    <w:pPr>
      <w:overflowPunct w:val="0"/>
      <w:autoSpaceDE w:val="0"/>
      <w:autoSpaceDN w:val="0"/>
      <w:adjustRightInd w:val="0"/>
      <w:textAlignment w:val="baseline"/>
    </w:pPr>
    <w:rPr>
      <w:rFonts w:ascii="宋体"/>
      <w:kern w:val="0"/>
      <w:sz w:val="28"/>
      <w:szCs w:val="20"/>
    </w:rPr>
  </w:style>
  <w:style w:type="paragraph" w:customStyle="1" w:styleId="123">
    <w:name w:val="List Paragraph"/>
    <w:basedOn w:val="1"/>
    <w:qFormat/>
    <w:uiPriority w:val="34"/>
    <w:pPr>
      <w:ind w:firstLine="420" w:firstLineChars="200"/>
    </w:pPr>
    <w:rPr>
      <w:rFonts w:ascii="Calibri" w:hAnsi="Calibri"/>
      <w:szCs w:val="22"/>
    </w:rPr>
  </w:style>
  <w:style w:type="paragraph" w:customStyle="1" w:styleId="124">
    <w:name w:val="正文格式"/>
    <w:basedOn w:val="1"/>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125">
    <w:name w:val="二级标题"/>
    <w:basedOn w:val="126"/>
    <w:qFormat/>
    <w:uiPriority w:val="0"/>
    <w:pPr>
      <w:spacing w:beforeLines="50"/>
    </w:pPr>
    <w:rPr>
      <w:b/>
      <w:sz w:val="28"/>
    </w:rPr>
  </w:style>
  <w:style w:type="paragraph" w:customStyle="1" w:styleId="126">
    <w:name w:val="技术规范书正文"/>
    <w:qFormat/>
    <w:uiPriority w:val="0"/>
    <w:pPr>
      <w:widowControl w:val="0"/>
      <w:snapToGrid w:val="0"/>
      <w:spacing w:after="160" w:line="360" w:lineRule="auto"/>
    </w:pPr>
    <w:rPr>
      <w:rFonts w:ascii="Times New Roman" w:hAnsi="Times New Roman" w:eastAsia="宋体" w:cs="Times New Roman"/>
      <w:kern w:val="2"/>
      <w:sz w:val="24"/>
      <w:lang w:val="en-US" w:eastAsia="zh-CN" w:bidi="ar-SA"/>
    </w:rPr>
  </w:style>
  <w:style w:type="paragraph" w:customStyle="1" w:styleId="127">
    <w:name w:val="Einruecken 0.4"/>
    <w:basedOn w:val="1"/>
    <w:qFormat/>
    <w:uiPriority w:val="0"/>
    <w:pPr>
      <w:widowControl/>
      <w:tabs>
        <w:tab w:val="left" w:pos="255"/>
        <w:tab w:val="left" w:pos="2268"/>
        <w:tab w:val="left" w:pos="4253"/>
        <w:tab w:val="left" w:pos="4820"/>
      </w:tabs>
      <w:ind w:left="255" w:right="851" w:hanging="255"/>
      <w:jc w:val="left"/>
    </w:pPr>
    <w:rPr>
      <w:kern w:val="0"/>
      <w:sz w:val="20"/>
      <w:szCs w:val="20"/>
    </w:rPr>
  </w:style>
  <w:style w:type="paragraph" w:customStyle="1" w:styleId="128">
    <w:name w:val="_Style 5"/>
    <w:basedOn w:val="2"/>
    <w:next w:val="1"/>
    <w:unhideWhenUsed/>
    <w:qFormat/>
    <w:uiPriority w:val="39"/>
    <w:pPr>
      <w:widowControl/>
      <w:numPr>
        <w:ilvl w:val="0"/>
        <w:numId w:val="0"/>
      </w:numPr>
      <w:adjustRightInd/>
      <w:spacing w:before="480" w:after="0" w:line="276" w:lineRule="auto"/>
      <w:jc w:val="left"/>
      <w:textAlignment w:val="auto"/>
      <w:outlineLvl w:val="9"/>
    </w:pPr>
    <w:rPr>
      <w:rFonts w:ascii="Cambria" w:hAnsi="Cambria" w:eastAsia="宋体" w:cs="Times New Roman"/>
      <w:color w:val="365F91"/>
      <w:kern w:val="0"/>
      <w:sz w:val="28"/>
      <w:szCs w:val="28"/>
    </w:rPr>
  </w:style>
  <w:style w:type="table" w:customStyle="1" w:styleId="129">
    <w:name w:val="Table Normal"/>
    <w:unhideWhenUsed/>
    <w:qFormat/>
    <w:uiPriority w:val="2"/>
    <w:rPr>
      <w:lang w:val="en-US" w:eastAsia="zh-CN" w:bidi="ar-SA"/>
    </w:rPr>
    <w:tblPr>
      <w:tblLayout w:type="fixed"/>
      <w:tblCellMar>
        <w:top w:w="0" w:type="dxa"/>
        <w:left w:w="0" w:type="dxa"/>
        <w:bottom w:w="0" w:type="dxa"/>
        <w:right w:w="0" w:type="dxa"/>
      </w:tblCellMar>
    </w:tblPr>
  </w:style>
  <w:style w:type="paragraph" w:customStyle="1" w:styleId="130">
    <w:name w:val="Body text|1"/>
    <w:basedOn w:val="1"/>
    <w:qFormat/>
    <w:uiPriority w:val="0"/>
    <w:pPr>
      <w:spacing w:line="434" w:lineRule="auto"/>
      <w:ind w:firstLine="280"/>
    </w:pPr>
    <w:rPr>
      <w:rFonts w:ascii="宋体" w:hAnsi="宋体" w:eastAsia="宋体" w:cs="宋体"/>
      <w:color w:val="auto"/>
      <w:kern w:val="2"/>
      <w:sz w:val="18"/>
      <w:szCs w:val="18"/>
      <w:lang w:val="zh-TW" w:eastAsia="zh-TW" w:bidi="zh-TW"/>
    </w:rPr>
  </w:style>
  <w:style w:type="paragraph" w:customStyle="1" w:styleId="131">
    <w:name w:val="WPSOffice手动目录 1"/>
    <w:qFormat/>
    <w:uiPriority w:val="0"/>
    <w:pPr>
      <w:ind w:leftChars="0"/>
    </w:pPr>
    <w:rPr>
      <w:rFonts w:ascii="Times New Roman" w:hAnsi="Times New Roman" w:eastAsia="宋体" w:cs="Times New Roman"/>
      <w:sz w:val="20"/>
      <w:szCs w:val="20"/>
    </w:rPr>
  </w:style>
  <w:style w:type="character" w:customStyle="1" w:styleId="132">
    <w:name w:val="font31"/>
    <w:basedOn w:val="34"/>
    <w:qFormat/>
    <w:uiPriority w:val="0"/>
    <w:rPr>
      <w:rFonts w:ascii="仿宋_GB2312" w:eastAsia="仿宋_GB2312" w:cs="仿宋_GB2312"/>
      <w:color w:val="FF0000"/>
      <w:sz w:val="28"/>
      <w:szCs w:val="28"/>
      <w:u w:val="none"/>
    </w:rPr>
  </w:style>
  <w:style w:type="paragraph" w:customStyle="1" w:styleId="133">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1df9a334-aa44-4d9c-988c-bb38507c1301</errorID>
      <errorWord>-</errorWord>
      <group>L1_Punc</group>
      <groupName>标点问题</groupName>
      <ability>L2_Punc</ability>
      <abilityName>标点符号检查</abilityName>
      <candidateList>
        <item/>
      </candidateList>
      <explain/>
      <paraID>4862A9E2</paraID>
      <start>32</start>
      <end>33</end>
      <status>ignored</status>
      <modifiedWord/>
      <trackRevisions>false</trackRevisions>
    </reviewItem>
    <reviewItem>
      <errorID>f212d8ea-9530-453c-a56d-c597095aac76</errorID>
      <errorWord>）一网通办系统</errorWord>
      <group>L1_Grammar</group>
      <groupName>语法问题</groupName>
      <ability>L2_Grammar</ability>
      <abilityName>语法错误</abilityName>
      <candidateList>
        <item>）</item>
      </candidateList>
      <explain/>
      <paraID>4862A9E2</paraID>
      <start>36</start>
      <end>43</end>
      <status>ignored</status>
      <modifiedWord/>
      <trackRevisions>false</trackRevisions>
    </reviewItem>
    <reviewItem>
      <errorID>510fc31a-5c7e-4a69-b8a0-818b753cf4fc</errorID>
      <errorWord>)</errorWord>
      <group>L1_Punc</group>
      <groupName>标点问题</groupName>
      <ability>L2_Punc</ability>
      <abilityName>标点符号检查</abilityName>
      <candidateList>
        <item>）</item>
      </candidateList>
      <explain/>
      <paraID>4862A9E2</paraID>
      <start>104</start>
      <end>105</end>
      <status>modified</status>
      <modifiedWord>）</modifiedWord>
      <trackRevisions>false</trackRevisions>
    </reviewItem>
    <reviewItem>
      <errorID>27489d1c-e56b-4737-9bf5-5c91a26c70aa</errorID>
      <errorWord>－</errorWord>
      <group>L1_Punc</group>
      <groupName>标点问题</groupName>
      <ability>L2_Punc</ability>
      <abilityName>标点符号检查</abilityName>
      <candidateList>
        <item/>
      </candidateList>
      <explain/>
      <paraID>345DFF1D</paraID>
      <start>41</start>
      <end>42</end>
      <status>ignored</status>
      <modifiedWord/>
      <trackRevisions>false</trackRevisions>
    </reviewItem>
    <reviewItem>
      <errorID>352e7868-f38e-4c9d-bb20-b0ec7b7c7ec6</errorID>
      <errorWord>-</errorWord>
      <group>L1_Punc</group>
      <groupName>标点问题</groupName>
      <ability>L2_Punc</ability>
      <abilityName>标点符号检查</abilityName>
      <candidateList>
        <item/>
      </candidateList>
      <explain/>
      <paraID>30A4A0D1</paraID>
      <start>54</start>
      <end>55</end>
      <status>ignored</status>
      <modifiedWord/>
      <trackRevisions>false</trackRevisions>
    </reviewItem>
    <reviewItem>
      <errorID>828e2adb-4996-4e83-9de7-e0ca18160b59</errorID>
      <errorWord>）一网通办系统</errorWord>
      <group>L1_Grammar</group>
      <groupName>语法问题</groupName>
      <ability>L2_Grammar</ability>
      <abilityName>语法错误</abilityName>
      <candidateList>
        <item>）</item>
      </candidateList>
      <explain/>
      <paraID>30A4A0D1</paraID>
      <start>58</start>
      <end>65</end>
      <status>ignored</status>
      <modifiedWord/>
      <trackRevisions>false</trackRevisions>
    </reviewItem>
    <reviewItem>
      <errorID>ff31a853-a50e-4a91-a9f4-0c56976bd04c</errorID>
      <errorWord>点击</errorWord>
      <group>L1_Punc</group>
      <groupName>标点问题</groupName>
      <ability>L2_Punc</ability>
      <abilityName>标点符号检查</abilityName>
      <candidateList>
        <item>，点击</item>
      </candidateList>
      <explain/>
      <paraID>3D600AC6</paraID>
      <start>41</start>
      <end>43</end>
      <status>ignored</status>
      <modifiedWord/>
      <trackRevisions>false</trackRevisions>
    </reviewItem>
    <reviewItem>
      <errorID>3571965b-625f-4991-870a-1765d5e5bb42</errorID>
      <errorWord>-</errorWord>
      <group>L1_Format</group>
      <groupName>格式问题</groupName>
      <ability>L2_HalfPunc</ability>
      <abilityName>全半角检查</abilityName>
      <candidateList>
        <item>－</item>
      </candidateList>
      <explain>文本全半角错误。</explain>
      <paraID>3A0627A3</paraID>
      <start>40</start>
      <end>41</end>
      <status>ignored</status>
      <modifiedWord/>
      <trackRevisions>false</trackRevisions>
    </reviewItem>
    <reviewItem>
      <errorID>ed11c19a-dc87-4875-9edc-a128906a23e4</errorID>
      <errorWord>）</errorWord>
      <group>L1_Punc</group>
      <groupName>标点问题</groupName>
      <ability>L2_Punc</ability>
      <abilityName>标点符号检查</abilityName>
      <candidateList>
        <item/>
      </candidateList>
      <explain/>
      <paraID>32A46BAA</paraID>
      <start>33</start>
      <end>34</end>
      <status>ignored</status>
      <modifiedWord/>
      <trackRevisions>false</trackRevisions>
    </reviewItem>
    <reviewItem>
      <errorID>cbb28b93-2a01-4df9-b4e6-cce3f905817f</errorID>
      <errorWord>[2024]13号</errorWord>
      <group>L1_Knowledge</group>
      <groupName>知识性问题</groupName>
      <ability>L2_Knowledge</ability>
      <abilityName>其他知识</abilityName>
      <candidateList>
        <item>〔2024〕13号</item>
      </candidateList>
      <explain>发文字号格式错误。</explain>
      <paraID> 425AF13</paraID>
      <start>23</start>
      <end>32</end>
      <status>modified</status>
      <modifiedWord>〔2024〕13号</modifiedWord>
      <trackRevisions>false</trackRevisions>
    </reviewItem>
    <reviewItem>
      <errorID>3b0c252b-c47e-4ef6-9d6b-e9add5860ae6</errorID>
      <errorWord>l</errorWord>
      <group>L1_Word</group>
      <groupName>字词问题</groupName>
      <ability>L2_Typo</ability>
      <abilityName>字词错误</abilityName>
      <candidateList>
        <item>1</item>
      </candidateList>
      <explain/>
      <paraID>42E3D397</paraID>
      <start>0</start>
      <end>1</end>
      <status>modified</status>
      <modifiedWord>1</modifiedWord>
      <trackRevisions>false</trackRevisions>
    </reviewItem>
    <reviewItem>
      <errorID>b9e1c151-6b23-4294-9f38-b3488fa18aca</errorID>
      <errorWord>并有义务</errorWord>
      <group>L1_Grammar</group>
      <groupName>语法问题</groupName>
      <ability>L2_Grammar</ability>
      <abilityName>语法错误</abilityName>
      <candidateList>
        <item>并</item>
      </candidateList>
      <explain/>
      <paraID>75509C86</paraID>
      <start>156</start>
      <end>157</end>
      <status>modified</status>
      <modifiedWord>并</modifiedWord>
      <trackRevisions>false</trackRevisions>
    </reviewItem>
    <reviewItem>
      <errorID>bbc86c2c-fbc1-48e7-84e8-151c0dceb420</errorID>
      <errorWord>，</errorWord>
      <group>L1_Punc</group>
      <groupName>标点问题</groupName>
      <ability>L2_Punc</ability>
      <abilityName>标点符号检查</abilityName>
      <candidateList>
        <item>。</item>
      </candidateList>
      <explain/>
      <paraID>66F9996B</paraID>
      <start>30</start>
      <end>31</end>
      <status>modified</status>
      <modifiedWord>。</modifiedWord>
      <trackRevisions>false</trackRevisions>
    </reviewItem>
    <reviewItem>
      <errorID>f8aa9ca1-f3a3-4a75-8d4b-f8f24d480459</errorID>
      <errorWord>、</errorWord>
      <group>L1_Punc</group>
      <groupName>标点问题</groupName>
      <ability>L2_Punc</ability>
      <abilityName>标点符号检查</abilityName>
      <candidateList>
        <item>，</item>
      </candidateList>
      <explain/>
      <paraID>66F9996B</paraID>
      <start>64</start>
      <end>65</end>
      <status>modified</status>
      <modifiedWord>，</modifiedWord>
      <trackRevisions>false</trackRevisions>
    </reviewItem>
    <reviewItem>
      <errorID>7de4f312-1058-494d-ba41-437bf3e9f3ef</errorID>
      <errorWord>投标</errorWord>
      <group>L1_Word</group>
      <groupName>字词问题</groupName>
      <ability>L2_Typo</ability>
      <abilityName>字词错误</abilityName>
      <candidateList>
        <item>在投标</item>
      </candidateList>
      <explain/>
      <paraID>66F9996B</paraID>
      <start>76</start>
      <end>79</end>
      <status>modified</status>
      <modifiedWord>在投标</modifiedWord>
      <trackRevisions>false</trackRevisions>
    </reviewItem>
    <reviewItem>
      <errorID>93b5d8e5-7fc8-4de9-b9dc-661be93cef94</errorID>
      <errorWord>任何人的</errorWord>
      <group>L1_Word</group>
      <groupName>字词问题</groupName>
      <ability>L2_Typo</ability>
      <abilityName>字词错误</abilityName>
      <candidateList>
        <item>的任何</item>
      </candidateList>
      <explain/>
      <paraID>33CA00A2</paraID>
      <start>25</start>
      <end>28</end>
      <status>modified</status>
      <modifiedWord>的任何</modifiedWord>
      <trackRevisions>false</trackRevisions>
    </reviewItem>
    <reviewItem>
      <errorID>399c1908-5387-4de8-9909-f909e843d9f9</errorID>
      <errorWord>对采用</errorWord>
      <group>L1_Word</group>
      <groupName>字词问题</groupName>
      <ability>L2_Typo</ability>
      <abilityName>字词错误</abilityName>
      <candidateList>
        <item>采用</item>
      </candidateList>
      <explain/>
      <paraID>50A7BC7F</paraID>
      <start>97</start>
      <end>99</end>
      <status>modified</status>
      <modifiedWord>采用</modifiedWord>
      <trackRevisions>false</trackRevisions>
    </reviewItem>
    <reviewItem>
      <errorID>6bf9d178-fa5a-4bcb-873c-198f64c89140</errorID>
      <errorWord>或</errorWord>
      <group>L1_Punc</group>
      <groupName>标点问题</groupName>
      <ability>L2_Punc</ability>
      <abilityName>标点符号检查</abilityName>
      <candidateList>
        <item>，或</item>
      </candidateList>
      <explain/>
      <paraID>50A7BC7F</paraID>
      <start>108</start>
      <end>110</end>
      <status>modified</status>
      <modifiedWord>，或</modifiedWord>
      <trackRevisions>false</trackRevisions>
    </reviewItem>
    <reviewItem>
      <errorID>46232a06-9a94-45e1-bd33-7a512c8f48b9</errorID>
      <errorWord>、</errorWord>
      <group>L1_Word</group>
      <groupName>字词问题</groupName>
      <ability>L2_Typo</ability>
      <abilityName>字词错误</abilityName>
      <candidateList>
        <item>，或</item>
      </candidateList>
      <explain/>
      <paraID>50A7BC7F</paraID>
      <start>132</start>
      <end>134</end>
      <status>modified</status>
      <modifiedWord>，或</modifiedWord>
      <trackRevisions>false</trackRevisions>
    </reviewItem>
    <reviewItem>
      <errorID>94cc6d4c-a098-4b22-85dd-fe413214a150</errorID>
      <errorWord>以及</errorWord>
      <group>L1_Word</group>
      <groupName>字词问题</groupName>
      <ability>L2_Typo</ability>
      <abilityName>字词错误</abilityName>
      <candidateList>
        <item>或</item>
      </candidateList>
      <explain/>
      <paraID>50A7BC7F</paraID>
      <start>146</start>
      <end>147</end>
      <status>modified</status>
      <modifiedWord>或</modifiedWord>
      <trackRevisions>false</trackRevisions>
    </reviewItem>
    <reviewItem>
      <errorID>970c511c-d6d6-44cc-93e0-d9463fdeb463</errorID>
      <errorWord>违规性操作</errorWord>
      <group>L1_Word</group>
      <groupName>字词问题</groupName>
      <ability>L2_Typo</ability>
      <abilityName>字词错误</abilityName>
      <candidateList>
        <item>违规操作</item>
      </candidateList>
      <explain/>
      <paraID>50A7BC7F</paraID>
      <start>171</start>
      <end>175</end>
      <status>modified</status>
      <modifiedWord>违规操作</modifiedWord>
      <trackRevisions>false</trackRevisions>
    </reviewItem>
    <reviewItem>
      <errorID>d3cc13d7-09b7-4c59-80a8-84a3075fcf64</errorID>
      <errorWord>使</errorWord>
      <group>L1_Punc</group>
      <groupName>标点问题</groupName>
      <ability>L2_Punc</ability>
      <abilityName>标点符号检查</abilityName>
      <candidateList>
        <item>，使</item>
      </candidateList>
      <explain/>
      <paraID>50A7BC7F</paraID>
      <start>201</start>
      <end>203</end>
      <status>modified</status>
      <modifiedWord>，使</modifiedWord>
      <trackRevisions>false</trackRevisions>
    </reviewItem>
    <reviewItem>
      <errorID>198f64d6-fbe2-4d99-9e22-94d72d2e5370</errorID>
      <errorWord>任何的</errorWord>
      <group>L1_Word</group>
      <groupName>字词问题</groupName>
      <ability>L2_Typo</ability>
      <abilityName>字词错误</abilityName>
      <candidateList>
        <item>任何</item>
      </candidateList>
      <explain/>
      <paraID>53A8C73C</paraID>
      <start>72</start>
      <end>74</end>
      <status>modified</status>
      <modifiedWord>任何</modifiedWord>
      <trackRevisions>false</trackRevisions>
    </reviewItem>
    <reviewItem>
      <errorID>66995c32-2d05-435c-a9eb-cb81635ff024</errorID>
      <errorWord>及</errorWord>
      <group>L1_Word</group>
      <groupName>字词问题</groupName>
      <ability>L2_Typo</ability>
      <abilityName>字词错误</abilityName>
      <candidateList>
        <item>、</item>
      </candidateList>
      <explain/>
      <paraID>53A8C73C</paraID>
      <start>79</start>
      <end>80</end>
      <status>modified</status>
      <modifiedWord>、</modifiedWord>
      <trackRevisions>false</trackRevisions>
    </reviewItem>
    <reviewItem>
      <errorID>e2f5350e-80cb-47b4-8f99-fb2f6afd416c</errorID>
      <errorWord>，</errorWord>
      <group>L1_Grammar</group>
      <groupName>语法问题</groupName>
      <ability>L2_Grammar</ability>
      <abilityName>语法错误</abilityName>
      <candidateList>
        <item>的情况，</item>
      </candidateList>
      <explain/>
      <paraID>53A8C73C</paraID>
      <start>97</start>
      <end>101</end>
      <status>modified</status>
      <modifiedWord>的情况，</modifiedWord>
      <trackRevisions>false</trackRevisions>
    </reviewItem>
    <reviewItem>
      <errorID>910bee31-4945-4278-ae58-5bfde99053df</errorID>
      <errorWord>使</errorWord>
      <group>L1_Punc</group>
      <groupName>标点问题</groupName>
      <ability>L2_Punc</ability>
      <abilityName>标点符号检查</abilityName>
      <candidateList>
        <item>，使</item>
      </candidateList>
      <explain/>
      <paraID>53A8C73C</paraID>
      <start>118</start>
      <end>120</end>
      <status>modified</status>
      <modifiedWord>，使</modifiedWord>
      <trackRevisions>false</trackRevisions>
    </reviewItem>
    <reviewItem>
      <errorID>c1475837-ab48-4089-858f-2f215ddcd275</errorID>
      <errorWord>必须</errorWord>
      <group>L1_Punc</group>
      <groupName>标点问题</groupName>
      <ability>L2_Punc</ability>
      <abilityName>标点符号检查</abilityName>
      <candidateList>
        <item>，必须</item>
      </candidateList>
      <explain/>
      <paraID>39FFFF4F</paraID>
      <start>30</start>
      <end>33</end>
      <status>modified</status>
      <modifiedWord>，必须</modifiedWord>
      <trackRevisions>false</trackRevisions>
    </reviewItem>
    <reviewItem>
      <errorID>06604e8a-bfed-42a2-9aa2-a5160106b623</errorID>
      <errorWord>须</errorWord>
      <group>L1_Punc</group>
      <groupName>标点问题</groupName>
      <ability>L2_Punc</ability>
      <abilityName>标点符号检查</abilityName>
      <candidateList>
        <item>，须</item>
      </candidateList>
      <explain/>
      <paraID>2E4EF34C</paraID>
      <start>7</start>
      <end>9</end>
      <status>modified</status>
      <modifiedWord>，须</modifiedWord>
      <trackRevisions>false</trackRevisions>
    </reviewItem>
    <reviewItem>
      <errorID>8a9f6116-e222-49fe-a6a9-5530da14df24</errorID>
      <errorWord>5</errorWord>
      <group>L1_Word</group>
      <groupName>字词问题</groupName>
      <ability>L2_Typo</ability>
      <abilityName>字词错误</abilityName>
      <candidateList>
        <item>6</item>
      </candidateList>
      <explain/>
      <paraID>6F5A0D1A</paraID>
      <start>1</start>
      <end>2</end>
      <status>modified</status>
      <modifiedWord>6</modifiedWord>
      <trackRevisions>false</trackRevisions>
    </reviewItem>
    <reviewItem>
      <errorID>ae86d39e-61e4-435e-84c7-10f24d66d807</errorID>
      <errorWord>授权代表方</errorWord>
      <group>L1_Word</group>
      <groupName>字词问题</groupName>
      <ability>L2_Typo</ability>
      <abilityName>字词错误</abilityName>
      <candidateList>
        <item>授权代表</item>
      </candidateList>
      <explain/>
      <paraID>7177D7F4</paraID>
      <start>21</start>
      <end>25</end>
      <status>modified</status>
      <modifiedWord>授权代表</modifiedWord>
      <trackRevisions>false</trackRevisions>
    </reviewItem>
    <reviewItem>
      <errorID>a6ab89c5-f553-40c9-b6ee-dee2b8d76aa2</errorID>
      <errorWord>对</errorWord>
      <group>L1_Punc</group>
      <groupName>标点问题</groupName>
      <ability>L2_Punc</ability>
      <abilityName>标点符号检查</abilityName>
      <candidateList>
        <item>，对</item>
      </candidateList>
      <explain/>
      <paraID> 3C4C7D0</paraID>
      <start>20</start>
      <end>22</end>
      <status>modified</status>
      <modifiedWord>，对</modifiedWord>
      <trackRevisions>false</trackRevisions>
    </reviewItem>
    <reviewItem>
      <errorID>5ffd0dc0-98ff-4b67-98d1-61e2f132802e</errorID>
      <errorWord>或者</errorWord>
      <group>L1_Word</group>
      <groupName>字词问题</groupName>
      <ability>L2_Typo</ability>
      <abilityName>字词错误</abilityName>
      <candidateList>
        <item>或</item>
      </candidateList>
      <explain/>
      <paraID>31AA629A</paraID>
      <start>67</start>
      <end>68</end>
      <status>modified</status>
      <modifiedWord>或</modifiedWord>
      <trackRevisions>false</trackRevisions>
    </reviewItem>
    <reviewItem>
      <errorID>050d548d-94cb-44e7-9896-00e0b57c1dcd</errorID>
      <errorWord>[2024]13号</errorWord>
      <group>L1_Knowledge</group>
      <groupName>知识性问题</groupName>
      <ability>L2_Knowledge</ability>
      <abilityName>其他知识</abilityName>
      <candidateList>
        <item>〔2024〕13号</item>
      </candidateList>
      <explain>发文字号格式错误。</explain>
      <paraID> AA97F91</paraID>
      <start>23</start>
      <end>32</end>
      <status>modified</status>
      <modifiedWord>〔2024〕13号</modifiedWord>
      <trackRevisions>false</trackRevisions>
    </reviewItem>
    <reviewItem>
      <errorID>07403cf3-d2bd-4941-aa26-3646d7e87156</errorID>
      <errorWord>位置上</errorWord>
      <group>L1_Word</group>
      <groupName>字词问题</groupName>
      <ability>L2_Typo</ability>
      <abilityName>字词错误</abilityName>
      <candidateList>
        <item>位置</item>
      </candidateList>
      <explain/>
      <paraID>36AAD46E</paraID>
      <start>25</start>
      <end>27</end>
      <status>modified</status>
      <modifiedWord>位置</modifiedWord>
      <trackRevisions>false</trackRevisions>
    </reviewItem>
    <reviewItem>
      <errorID>a8bacf27-daf9-46b4-ae1e-26369ff094a1</errorID>
      <errorWord>，</errorWord>
      <group>L1_Punc</group>
      <groupName>标点问题</groupName>
      <ability>L2_Punc</ability>
      <abilityName>标点符号检查</abilityName>
      <candidateList>
        <item>。</item>
      </candidateList>
      <explain/>
      <paraID>36AAD46E</paraID>
      <start>50</start>
      <end>51</end>
      <status>modified</status>
      <modifiedWord>。</modifiedWord>
      <trackRevisions>false</trackRevisions>
    </reviewItem>
    <reviewItem>
      <errorID>2e6e3da7-c883-4835-8ac4-78b8f7c3062c</errorID>
      <errorWord>将</errorWord>
      <group>L1_Punc</group>
      <groupName>标点问题</groupName>
      <ability>L2_Punc</ability>
      <abilityName>标点符号检查</abilityName>
      <candidateList>
        <item>，将</item>
      </candidateList>
      <explain/>
      <paraID>36AAD46E</paraID>
      <start>63</start>
      <end>65</end>
      <status>modified</status>
      <modifiedWord>，将</modifiedWord>
      <trackRevisions>false</trackRevisions>
    </reviewItem>
    <reviewItem>
      <errorID>e9403e5d-5f24-4308-9120-e9b2267aec90</errorID>
      <errorWord>系统故障原因</errorWord>
      <group>L1_Grammar</group>
      <groupName>语法问题</groupName>
      <ability>L2_Grammar</ability>
      <abilityName>语法错误</abilityName>
      <candidateList>
        <item>系统故障</item>
      </candidateList>
      <explain/>
      <paraID>5BF4465B</paraID>
      <start>12</start>
      <end>16</end>
      <status>modified</status>
      <modifiedWord>系统故障</modifiedWord>
      <trackRevisions>false</trackRevisions>
    </reviewItem>
    <reviewItem>
      <errorID>ec5f5ff8-137b-4f32-aed9-135324ae4bce</errorID>
      <errorWord>，</errorWord>
      <group>L1_Punc</group>
      <groupName>标点问题</groupName>
      <ability>L2_Punc</ability>
      <abilityName>标点符号检查</abilityName>
      <candidateList>
        <item>。</item>
      </candidateList>
      <explain/>
      <paraID>5BF4465B</paraID>
      <start>41</start>
      <end>42</end>
      <status>modified</status>
      <modifiedWord>。</modifiedWord>
      <trackRevisions>false</trackRevisions>
    </reviewItem>
    <reviewItem>
      <errorID>ee8a6167-fe91-452a-84ac-a94070db2feb</errorID>
      <errorWord>导致系统</errorWord>
      <group>L1_Punc</group>
      <groupName>标点问题</groupName>
      <ability>L2_Punc</ability>
      <abilityName>标点符号检查</abilityName>
      <candidateList>
        <item>，导致系统</item>
      </candidateList>
      <explain/>
      <paraID>5BF4465B</paraID>
      <start>93</start>
      <end>98</end>
      <status>modified</status>
      <modifiedWord>，导致系统</modifiedWord>
      <trackRevisions>false</trackRevisions>
    </reviewItem>
    <reviewItem>
      <errorID>3badc5f9-4c17-4547-9541-958217f4bc0e</errorID>
      <errorWord>作</errorWord>
      <group>L1_Punc</group>
      <groupName>标点问题</groupName>
      <ability>L2_Punc</ability>
      <abilityName>标点符号检查</abilityName>
      <candidateList>
        <item>，作</item>
      </candidateList>
      <explain/>
      <paraID>5BF4465B</paraID>
      <start>106</start>
      <end>108</end>
      <status>modified</status>
      <modifiedWord>，作</modifiedWord>
      <trackRevisions>false</trackRevisions>
    </reviewItem>
    <reviewItem>
      <errorID>f1f17949-1edc-42d4-9079-0284375d4617</errorID>
      <errorWord>5</errorWord>
      <group>L1_Grammar</group>
      <groupName>语法问题</groupName>
      <ability>L2_Grammar</ability>
      <abilityName>语法错误</abilityName>
      <candidateList>
        <item>组成，成员人数为5</item>
      </candidateList>
      <explain/>
      <paraID>70924904</paraID>
      <start>53</start>
      <end>54</end>
      <status>ignored</status>
      <modifiedWord/>
      <trackRevisions>false</trackRevisions>
    </reviewItem>
    <reviewItem>
      <errorID>c75db452-3541-4287-85d4-64058253e3b4</errorID>
      <errorWord>单数组成</errorWord>
      <group>L1_Grammar</group>
      <groupName>语法问题</groupName>
      <ability>L2_Grammar</ability>
      <abilityName>语法错误</abilityName>
      <candidateList>
        <item>单数</item>
      </candidateList>
      <explain/>
      <paraID>70924904</paraID>
      <start>58</start>
      <end>62</end>
      <status>ignored</status>
      <modifiedWord/>
      <trackRevisions>false</trackRevisions>
    </reviewItem>
    <reviewItem>
      <errorID>d7c0db86-5d3e-41cb-9076-d502c0211b4f</errorID>
      <errorWord>检查</errorWord>
      <group>L1_Word</group>
      <groupName>字词问题</groupName>
      <ability>L2_Typo</ability>
      <abilityName>字词错误</abilityName>
      <candidateList>
        <item>审查</item>
      </candidateList>
      <explain/>
      <paraID>4A235731</paraID>
      <start>56</start>
      <end>58</end>
      <status>modified</status>
      <modifiedWord>审查</modifiedWord>
      <trackRevisions>false</trackRevisions>
    </reviewItem>
    <reviewItem>
      <errorID>934058cc-c381-4cd7-9db2-3433f7aa8feb</errorID>
      <errorWord>检查</errorWord>
      <group>L1_Word</group>
      <groupName>字词问题</groupName>
      <ability>L2_Typo</ability>
      <abilityName>字词错误</abilityName>
      <candidateList>
        <item>审查</item>
      </candidateList>
      <explain/>
      <paraID>46D37B8D</paraID>
      <start>96</start>
      <end>98</end>
      <status>modified</status>
      <modifiedWord>审查</modifiedWord>
      <trackRevisions>false</trackRevisions>
    </reviewItem>
    <reviewItem>
      <errorID>78146f33-f81a-4d63-a54e-329c363a8d9b</errorID>
      <errorWord>进行</errorWord>
      <group>L1_Grammar</group>
      <groupName>语法问题</groupName>
      <ability>L2_Grammar</ability>
      <abilityName>语法错误</abilityName>
      <candidateList>
        <item>部分进行</item>
      </candidateList>
      <explain/>
      <paraID>4ADB120D</paraID>
      <start>36</start>
      <end>40</end>
      <status>modified</status>
      <modifiedWord>部分进行</modifiedWord>
      <trackRevisions>false</trackRevisions>
    </reviewItem>
    <reviewItem>
      <errorID>b03a0baf-bc1e-41c3-be4e-65cd36197bc8</errorID>
      <errorWord>标</errorWord>
      <group>L1_Punc</group>
      <groupName>标点问题</groupName>
      <ability>L2_Punc</ability>
      <abilityName>标点符号检查</abilityName>
      <candidateList>
        <item>标。</item>
      </candidateList>
      <explain/>
      <paraID>285CF364</paraID>
      <start>16</start>
      <end>17</end>
      <status>ignored</status>
      <modifiedWord/>
      <trackRevisions>false</trackRevisions>
    </reviewItem>
    <reviewItem>
      <errorID>033d02fd-e684-46fe-8469-8380964f6284</errorID>
      <errorWord>于</errorWord>
      <group>L1_Word</group>
      <groupName>字词问题</groupName>
      <ability>L2_Typo</ability>
      <abilityName>字词错误</abilityName>
      <candidateList>
        <item>按照</item>
      </candidateList>
      <explain/>
      <paraID>7BD8592D</paraID>
      <start>57</start>
      <end>59</end>
      <status>modified</status>
      <modifiedWord>按照</modifiedWord>
      <trackRevisions>false</trackRevisions>
    </reviewItem>
    <reviewItem>
      <errorID>003b9bfa-f295-4f53-851e-725fa02348ef</errorID>
      <errorWord>投标人</errorWord>
      <group>L1_Word</group>
      <groupName>字词问题</groupName>
      <ability>L2_Typo</ability>
      <abilityName>字词错误</abilityName>
      <candidateList>
        <item>主体</item>
      </candidateList>
      <explain/>
      <paraID>29CE0E89</paraID>
      <start>7</start>
      <end>9</end>
      <status>modified</status>
      <modifiedWord>主体</modifiedWord>
      <trackRevisions>false</trackRevisions>
    </reviewItem>
    <reviewItem>
      <errorID>997dcd2e-6b2d-45d3-be8f-ee30fbc6a842</errorID>
      <errorWord>，</errorWord>
      <group>L1_Punc</group>
      <groupName>标点问题</groupName>
      <ability>L2_Punc</ability>
      <abilityName>标点符号检查</abilityName>
      <candidateList>
        <item>。</item>
      </candidateList>
      <explain/>
      <paraID>32A9A84D</paraID>
      <start>9</start>
      <end>10</end>
      <status>modified</status>
      <modifiedWord>。</modifiedWord>
      <trackRevisions>false</trackRevisions>
    </reviewItem>
    <reviewItem>
      <errorID>3dac3383-c318-4fd4-a5d5-338401e50aca</errorID>
      <errorWord>、</errorWord>
      <group>L1_Word</group>
      <groupName>字词问题</groupName>
      <ability>L2_Typo</ability>
      <abilityName>字词错误</abilityName>
      <candidateList>
        <item>和</item>
      </candidateList>
      <explain/>
      <paraID>32A9A84D</paraID>
      <start>32</start>
      <end>33</end>
      <status>modified</status>
      <modifiedWord>和</modifiedWord>
      <trackRevisions>false</trackRevisions>
    </reviewItem>
    <reviewItem>
      <errorID>bfd19554-e4aa-44b9-b69c-91bb7f452718</errorID>
      <errorWord>提供</errorWord>
      <group>L1_Word</group>
      <groupName>字词问题</groupName>
      <ability>L2_Typo</ability>
      <abilityName>字词错误</abilityName>
      <candidateList>
        <item>包含</item>
      </candidateList>
      <explain/>
      <paraID>32A9A84D</paraID>
      <start>44</start>
      <end>46</end>
      <status>modified</status>
      <modifiedWord>包含</modifiedWord>
      <trackRevisions>false</trackRevisions>
    </reviewItem>
    <reviewItem>
      <errorID>19eb0bef-bf7f-4131-99c4-da3475c8e85c</errorID>
      <errorWord>邮箱</errorWord>
      <group>L1_Word</group>
      <groupName>字词问题</groupName>
      <ability>L2_Typo</ability>
      <abilityName>字词错误</abilityName>
      <candidateList>
        <item>含邮箱</item>
      </candidateList>
      <explain/>
      <paraID>40490FC2</paraID>
      <start>16</start>
      <end>19</end>
      <status>modified</status>
      <modifiedWord>含邮箱</modifiedWord>
      <trackRevisions>false</trackRevisions>
    </reviewItem>
    <reviewItem>
      <errorID>9e9805ac-97cd-43f0-b7f4-57011245d89e</errorID>
      <errorWord>或</errorWord>
      <group>L1_Punc</group>
      <groupName>标点问题</groupName>
      <ability>L2_Punc</ability>
      <abilityName>标点符号检查</abilityName>
      <candidateList>
        <item>，或</item>
      </candidateList>
      <explain/>
      <paraID> 54EA759</paraID>
      <start>8</start>
      <end>10</end>
      <status>modified</status>
      <modifiedWord>，或</modifiedWord>
      <trackRevisions>false</trackRevisions>
    </reviewItem>
    <reviewItem>
      <errorID>52e4b2bd-7682-4e0c-a290-1eade1e0a316</errorID>
      <errorWord>或佐证</errorWord>
      <group>L1_Grammar</group>
      <groupName>语法问题</groupName>
      <ability>L2_Grammar</ability>
      <abilityName>语法错误</abilityName>
      <candidateList>
        <item>，或无佐证</item>
      </candidateList>
      <explain/>
      <paraID>4C36438C</paraID>
      <start>13</start>
      <end>18</end>
      <status>modified</status>
      <modifiedWord>，或无佐证</modifiedWord>
      <trackRevisions>false</trackRevisions>
    </reviewItem>
    <reviewItem>
      <errorID>5ab13717-2bc9-4a89-a454-cfc57c09135c</errorID>
      <errorWord>或</errorWord>
      <group>L1_Grammar</group>
      <groupName>语法问题</groupName>
      <ability>L2_Grammar</ability>
      <abilityName>语法错误</abilityName>
      <candidateList>
        <item>提出，或</item>
      </candidateList>
      <explain/>
      <paraID>239550BE</paraID>
      <start>9</start>
      <end>13</end>
      <status>modified</status>
      <modifiedWord>提出，或</modifiedWord>
      <trackRevisions>false</trackRevisions>
    </reviewItem>
    <reviewItem>
      <errorID>416e3561-b435-49e8-88e3-cd1ddb0e4e48</errorID>
      <errorWord>；</errorWord>
      <group>L1_Punc</group>
      <groupName>标点问题</groupName>
      <ability>L2_Punc</ability>
      <abilityName>标点符号检查</abilityName>
      <candidateList>
        <item>，</item>
      </candidateList>
      <explain/>
      <paraID>2FCDEE05</paraID>
      <start>28</start>
      <end>29</end>
      <status>modified</status>
      <modifiedWord>，</modifiedWord>
      <trackRevisions>false</trackRevisions>
    </reviewItem>
    <reviewItem>
      <errorID>43f0668f-3754-48d1-8423-8f7297b2a87f</errorID>
      <errorWord>；</errorWord>
      <group>L1_Punc</group>
      <groupName>标点问题</groupName>
      <ability>L2_Punc</ability>
      <abilityName>标点符号检查</abilityName>
      <candidateList>
        <item>，</item>
      </candidateList>
      <explain/>
      <paraID>2FCDEE05</paraID>
      <start>40</start>
      <end>41</end>
      <status>modified</status>
      <modifiedWord>，</modifiedWord>
      <trackRevisions>false</trackRevisions>
    </reviewItem>
    <reviewItem>
      <errorID>f806c2ca-d9db-4752-83ee-67fbe7b87f4f</errorID>
      <errorWord>；</errorWord>
      <group>L1_Punc</group>
      <groupName>标点问题</groupName>
      <ability>L2_Punc</ability>
      <abilityName>标点符号检查</abilityName>
      <candidateList>
        <item>，</item>
      </candidateList>
      <explain/>
      <paraID>2FCDEE05</paraID>
      <start>53</start>
      <end>54</end>
      <status>modified</status>
      <modifiedWord>，</modifiedWord>
      <trackRevisions>false</trackRevisions>
    </reviewItem>
    <reviewItem>
      <errorID>c897cef9-2766-4f9d-b13d-f8356357173f</errorID>
      <errorWord>等；</errorWord>
      <group>L1_Word</group>
      <groupName>字词问题</groupName>
      <ability>L2_Typo</ability>
      <abilityName>字词错误</abilityName>
      <candidateList>
        <item>，</item>
      </candidateList>
      <explain/>
      <paraID>2FCDEE05</paraID>
      <start>72</start>
      <end>73</end>
      <status>modified</status>
      <modifiedWord>，</modifiedWord>
      <trackRevisions>false</trackRevisions>
    </reviewItem>
    <reviewItem>
      <errorID>59f302c9-bd39-4b1e-b179-f661a6af0676</errorID>
      <errorWord>的；</errorWord>
      <group>L1_Word</group>
      <groupName>字词问题</groupName>
      <ability>L2_Typo</ability>
      <abilityName>字词错误</abilityName>
      <candidateList>
        <item>，</item>
      </candidateList>
      <explain/>
      <paraID>2FCDEE05</paraID>
      <start>87</start>
      <end>88</end>
      <status>modified</status>
      <modifiedWord>，</modifiedWord>
      <trackRevisions>false</trackRevisions>
    </reviewItem>
    <reviewItem>
      <errorID>1be75ee7-326b-4990-a0be-ba1de8eddc8d</errorID>
      <errorWord>期</errorWord>
      <group>L1_Word</group>
      <groupName>字词问题</groupName>
      <ability>L2_Typo</ability>
      <abilityName>字词错误</abilityName>
      <candidateList>
        <item>期为</item>
      </candidateList>
      <explain/>
      <paraID>4D6E1B9A</paraID>
      <start>37</start>
      <end>38</end>
      <status>ignored</status>
      <modifiedWord/>
      <trackRevisions>false</trackRevisions>
    </reviewItem>
    <reviewItem>
      <errorID>69519172-b22c-49ae-a606-cb1875a91602</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4D6E1B9A</paraID>
      <start>41</start>
      <end>43</end>
      <status>ignored</status>
      <modifiedWord/>
      <trackRevisions>false</trackRevisions>
    </reviewItem>
    <reviewItem>
      <errorID>6e5a627c-0c50-428a-a4c2-30199ba2d437</errorID>
      <errorWord>.</errorWord>
      <group>L1_Punc</group>
      <groupName>标点问题</groupName>
      <ability>L2_Punc</ability>
      <abilityName>标点符号检查</abilityName>
      <candidateList/>
      <explain/>
      <paraID>1B0E6E5E</paraID>
      <start>0</start>
      <end>1</end>
      <status>ignored</status>
      <modifiedWord/>
      <trackRevisions>false</trackRevisions>
    </reviewItem>
    <reviewItem>
      <errorID>af21d234-3aa7-476f-8a56-b9cedd6ca60d</errorID>
      <errorWord>提出</errorWord>
      <group>L1_Word</group>
      <groupName>字词问题</groupName>
      <ability>L2_Typo</ability>
      <abilityName>字词错误</abilityName>
      <candidateList>
        <item>应提出</item>
      </candidateList>
      <explain/>
      <paraID>6F28B1F6</paraID>
      <start>102</start>
      <end>104</end>
      <status>ignored</status>
      <modifiedWord/>
      <trackRevisions>false</trackRevisions>
    </reviewItem>
    <reviewItem>
      <errorID>15ea69ef-55c8-4330-a86b-00a922ef79dc</errorID>
      <errorWord>、和</errorWord>
      <group>L1_Word</group>
      <groupName>字词问题</groupName>
      <ability>L2_Typo</ability>
      <abilityName>字词错误</abilityName>
      <candidateList>
        <item>、</item>
      </candidateList>
      <explain/>
      <paraID>6F28B1F6</paraID>
      <start>135</start>
      <end>137</end>
      <status>ignored</status>
      <modifiedWord/>
      <trackRevisions>false</trackRevisions>
    </reviewItem>
    <reviewItem>
      <errorID>1a2def82-26d1-4647-8321-0c305bb8bf38</errorID>
      <errorWord>涉及到</errorWord>
      <group>L1_Grammar</group>
      <groupName>语法问题</groupName>
      <ability>L2_Grammar</ability>
      <abilityName>语法错误</abilityName>
      <candidateList>
        <item>涉及</item>
      </candidateList>
      <explain>〈动〉牵涉到；关联到：案子～好几个人｜这个问题～面很广。</explain>
      <paraID>3116ED87</paraID>
      <start>10</start>
      <end>13</end>
      <status>ignored</status>
      <modifiedWord/>
      <trackRevisions>false</trackRevisions>
    </reviewItem>
    <reviewItem>
      <errorID>99499cbe-32ee-4e7a-aef5-2861c398e983</errorID>
      <errorWord>,</errorWord>
      <group>L1_Format</group>
      <groupName>格式问题</groupName>
      <ability>L2_HalfPunc</ability>
      <abilityName>全半角检查</abilityName>
      <candidateList>
        <item>，</item>
      </candidateList>
      <explain>文本全半角错误。</explain>
      <paraID>6E82E7B5</paraID>
      <start>15</start>
      <end>16</end>
      <status>ignored</status>
      <modifiedWord/>
      <trackRevisions>false</trackRevisions>
    </reviewItem>
    <reviewItem>
      <errorID>e8344a14-0da5-4946-991c-120ba3e6822d</errorID>
      <errorWord>必需</errorWord>
      <group>L1_Word</group>
      <groupName>字词问题</groupName>
      <ability>L2_Typo</ability>
      <abilityName>字词错误</abilityName>
      <candidateList>
        <item>必须</item>
      </candidateList>
      <explain/>
      <paraID>2DD38194</paraID>
      <start>16</start>
      <end>18</end>
      <status>ignored</status>
      <modifiedWord/>
      <trackRevisions>false</trackRevisions>
    </reviewItem>
    <reviewItem>
      <errorID>ab102350-c4f8-4be4-b523-30e362079498</errorID>
      <errorWord>如下</errorWord>
      <group>L1_Punc</group>
      <groupName>标点问题</groupName>
      <ability>L2_Punc</ability>
      <abilityName>标点符号检查</abilityName>
      <candidateList>
        <item>如下：</item>
      </candidateList>
      <explain/>
      <paraID>53A5EE02</paraID>
      <start>9</start>
      <end>11</end>
      <status>ignored</status>
      <modifiedWord/>
      <trackRevisions>false</trackRevisions>
    </reviewItem>
    <reviewItem>
      <errorID>21dd817e-0a74-4c8c-89e9-12bfc3e9a3f8</errorID>
      <errorWord>水份</errorWord>
      <group>L1_Word</group>
      <groupName>字词问题</groupName>
      <ability>L2_Variant</ability>
      <abilityName>异形词</abilityName>
      <candidateList>
        <item>水分</item>
      </candidateList>
      <explain>词汇[水份]的规范词形写作[水分]。</explain>
      <paraID>15F0516B</paraID>
      <start>1</start>
      <end>3</end>
      <status>ignored</status>
      <modifiedWord/>
      <trackRevisions>false</trackRevisions>
    </reviewItem>
    <reviewItem>
      <errorID>4b377b11-880e-410d-9d5f-f0e732692fd6</errorID>
      <errorWord>水份</errorWord>
      <group>L1_Word</group>
      <groupName>字词问题</groupName>
      <ability>L2_Variant</ability>
      <abilityName>异形词</abilityName>
      <candidateList>
        <item>水分</item>
      </candidateList>
      <explain>词汇[水份]的规范词形写作[水分]。</explain>
      <paraID>5C8B834E</paraID>
      <start>5</start>
      <end>7</end>
      <status>ignored</status>
      <modifiedWord/>
      <trackRevisions>false</trackRevisions>
    </reviewItem>
    <reviewItem>
      <errorID>9162c273-09bd-463b-ac0e-115ff6475bec</errorID>
      <errorWord>灰份</errorWord>
      <group>L1_Word</group>
      <groupName>字词问题</groupName>
      <ability>L2_Variant</ability>
      <abilityName>异形词</abilityName>
      <candidateList>
        <item>灰分</item>
      </candidateList>
      <explain>词汇[灰份]的规范词形写作[灰分]。</explain>
      <paraID>76E26B11</paraID>
      <start>5</start>
      <end>7</end>
      <status>ignored</status>
      <modifiedWord/>
      <trackRevisions>false</trackRevisions>
    </reviewItem>
    <reviewItem>
      <errorID>48c81cd5-cd2d-4b4e-9d3f-c26cf5b5952c</errorID>
      <errorWord>份</errorWord>
      <group>L1_Word</group>
      <groupName>字词问题</groupName>
      <ability>L2_Typo</ability>
      <abilityName>字词错误</abilityName>
      <candidateList>
        <item>分</item>
      </candidateList>
      <explain>存在发音相同字词的误用。</explain>
      <paraID>1388D6D0</paraID>
      <start>7</start>
      <end>8</end>
      <status>ignored</status>
      <modifiedWord/>
      <trackRevisions>false</trackRevisions>
    </reviewItem>
    <reviewItem>
      <errorID>bc07d686-401e-4ee1-8615-1f6b4e58bead</errorID>
      <errorWord>地位发热量</errorWord>
      <group>L1_Knowledge</group>
      <groupName>知识性问题</groupName>
      <ability>L2_Term</ability>
      <abilityName>专业术语</abilityName>
      <candidateList>
        <item>低位发热量</item>
      </candidateList>
      <explain/>
      <paraID>2F24955C</paraID>
      <start>5</start>
      <end>10</end>
      <status>ignored</status>
      <modifiedWord/>
      <trackRevisions>false</trackRevisions>
    </reviewItem>
    <reviewItem>
      <errorID>4135fdc5-9ede-4682-a69a-cd116316b941</errorID>
      <errorWord>h</errorWord>
      <group>L1_Punc</group>
      <groupName>标点问题</groupName>
      <ability>L2_Punc</ability>
      <abilityName>标点符号检查</abilityName>
      <candidateList>
        <item>h。</item>
      </candidateList>
      <explain/>
      <paraID>60AC9DE6</paraID>
      <start>35</start>
      <end>36</end>
      <status>ignored</status>
      <modifiedWord/>
      <trackRevisions>false</trackRevisions>
    </reviewItem>
    <reviewItem>
      <errorID>00446ed3-31fa-4727-86ac-3936016d4abd</errorID>
      <errorWord>,</errorWord>
      <group>L1_Format</group>
      <groupName>格式问题</groupName>
      <ability>L2_HalfPunc</ability>
      <abilityName>全半角检查</abilityName>
      <candidateList>
        <item>，</item>
      </candidateList>
      <explain>文本全半角错误。</explain>
      <paraID>371CD8CC</paraID>
      <start>226</start>
      <end>227</end>
      <status>ignored</status>
      <modifiedWord/>
      <trackRevisions>false</trackRevisions>
    </reviewItem>
    <reviewItem>
      <errorID>56f0060d-8708-4c93-9a6e-2ee0d0a41182</errorID>
      <errorWord>；</errorWord>
      <group>L1_Punc</group>
      <groupName>标点问题</groupName>
      <ability>L2_Punc</ability>
      <abilityName>标点符号检查</abilityName>
      <candidateList>
        <item>。</item>
      </candidateList>
      <explain/>
      <paraID>6E2AF749</paraID>
      <start>66</start>
      <end>67</end>
      <status>ignored</status>
      <modifiedWord/>
      <trackRevisions>false</trackRevisions>
    </reviewItem>
    <reviewItem>
      <errorID>7a3b5011-80f2-49de-a0df-cdae918e4de3</errorID>
      <errorWord>包括对</errorWord>
      <group>L1_Word</group>
      <groupName>字词问题</groupName>
      <ability>L2_Typo</ability>
      <abilityName>字词错误</abilityName>
      <candidateList>
        <item>包括</item>
      </candidateList>
      <explain/>
      <paraID>55200918</paraID>
      <start>23</start>
      <end>26</end>
      <status>ignored</status>
      <modifiedWord/>
      <trackRevisions>false</trackRevisions>
    </reviewItem>
    <reviewItem>
      <errorID>b88730cb-92f8-4d60-85a1-fefc581af5ba</errorID>
      <errorWord>之内的</errorWord>
      <group>L1_Word</group>
      <groupName>字词问题</groupName>
      <ability>L2_Typo</ability>
      <abilityName>字词错误</abilityName>
      <candidateList>
        <item>之内</item>
      </candidateList>
      <explain/>
      <paraID>55200918</paraID>
      <start>30</start>
      <end>33</end>
      <status>ignored</status>
      <modifiedWord/>
      <trackRevisions>false</trackRevisions>
    </reviewItem>
    <reviewItem>
      <errorID>0bbe2bde-128c-4dfd-bdda-62dde2cead52</errorID>
      <errorWord>施工</errorWord>
      <group>L1_Grammar</group>
      <groupName>语法问题</groupName>
      <ability>L2_Grammar</ability>
      <abilityName>语法错误</abilityName>
      <candidateList>
        <item>以及施工</item>
      </candidateList>
      <explain/>
      <paraID>55200918</paraID>
      <start>147</start>
      <end>149</end>
      <status>ignored</status>
      <modifiedWord/>
      <trackRevisions>false</trackRevisions>
    </reviewItem>
    <reviewItem>
      <errorID>d43b7a93-c2a2-4a89-8094-8e1f68a9bb76</errorID>
      <errorWord>，</errorWord>
      <group>L1_Punc</group>
      <groupName>标点问题</groupName>
      <ability>L2_Punc</ability>
      <abilityName>标点符号检查</abilityName>
      <candidateList>
        <item/>
      </candidateList>
      <explain/>
      <paraID>55200918</paraID>
      <start>152</start>
      <end>153</end>
      <status>unmodified</status>
      <modifiedWord/>
      <trackRevisions>false</trackRevisions>
    </reviewItem>
    <reviewItem>
      <errorID>44bdd506-9d63-4fc7-97b5-75896fb59ea0</errorID>
      <errorWord>需的全部</errorWord>
      <group>L1_Grammar</group>
      <groupName>语法问题</groupName>
      <ability>L2_Grammar</ability>
      <abilityName>语法错误</abilityName>
      <candidateList>
        <item>需</item>
      </candidateList>
      <explain/>
      <paraID>55200918</paraID>
      <start>173</start>
      <end>177</end>
      <status>unmodified</status>
      <modifiedWord/>
      <trackRevisions>false</trackRevisions>
    </reviewItem>
    <reviewItem>
      <errorID>d1d2e5e2-b13b-41f0-a604-9253e35d3927</errorID>
      <errorWord>及其</errorWord>
      <group>L1_Word</group>
      <groupName>字词问题</groupName>
      <ability>L2_Typo</ability>
      <abilityName>字词错误</abilityName>
      <candidateList>
        <item>、</item>
      </candidateList>
      <explain/>
      <paraID>28AA1AE2</paraID>
      <start>42</start>
      <end>44</end>
      <status>unmodified</status>
      <modifiedWord/>
      <trackRevisions>false</trackRevisions>
    </reviewItem>
    <reviewItem>
      <errorID>629e8356-b707-423f-b30c-9dd7a9bcea2f</errorID>
      <errorWord>等费用</errorWord>
      <group>L1_Grammar</group>
      <groupName>语法问题</groupName>
      <ability>L2_Grammar</ability>
      <abilityName>语法错误</abilityName>
      <candidateList>
        <item>等</item>
      </candidateList>
      <explain/>
      <paraID>28AA1AE2</paraID>
      <start>73</start>
      <end>76</end>
      <status>unmodified</status>
      <modifiedWord/>
      <trackRevisions>false</trackRevisions>
    </reviewItem>
    <reviewItem>
      <errorID>9af536b0-984f-4360-a709-a26c8448269f</errorID>
      <errorWord>交于</errorWord>
      <group>L1_Word</group>
      <groupName>字词问题</groupName>
      <ability>L2_Typo</ability>
      <abilityName>字词错误</abilityName>
      <candidateList>
        <item>交给</item>
      </candidateList>
      <explain/>
      <paraID>371FCD88</paraID>
      <start>39</start>
      <end>41</end>
      <status>unmodified</status>
      <modifiedWord/>
      <trackRevisions>false</trackRevisions>
    </reviewItem>
    <reviewItem>
      <errorID>ac6c762f-cd79-4e0e-9c3d-edd5463c30e9</errorID>
      <errorWord>管部分</errorWord>
      <group>L1_Grammar</group>
      <groupName>语法问题</groupName>
      <ability>L2_Grammar</ability>
      <abilityName>语法错误</abilityName>
      <candidateList>
        <item>管</item>
      </candidateList>
      <explain/>
      <paraID>4722A78C</paraID>
      <start>25</start>
      <end>28</end>
      <status>unmodified</status>
      <modifiedWord/>
      <trackRevisions>false</trackRevisions>
    </reviewItem>
    <reviewItem>
      <errorID>72fe4061-a13a-46b6-98b7-06cf394e8ecd</errorID>
      <errorWord>度尺寸</errorWord>
      <group>L1_Grammar</group>
      <groupName>语法问题</groupName>
      <ability>L2_Grammar</ability>
      <abilityName>语法错误</abilityName>
      <candidateList>
        <item>度</item>
      </candidateList>
      <explain/>
      <paraID>27337711</paraID>
      <start>12</start>
      <end>15</end>
      <status>unmodified</status>
      <modifiedWord/>
      <trackRevisions>false</trackRevisions>
    </reviewItem>
    <reviewItem>
      <errorID>3f1117a0-85d7-4375-9c20-3903fc846815</errorID>
      <errorWord>离</errorWord>
      <group>L1_Punc</group>
      <groupName>标点问题</groupName>
      <ability>L2_Punc</ability>
      <abilityName>标点符号检查</abilityName>
      <candidateList>
        <item>，离</item>
      </candidateList>
      <explain/>
      <paraID>663F95C3</paraID>
      <start>29</start>
      <end>30</end>
      <status>unmodified</status>
      <modifiedWord/>
      <trackRevisions>false</trackRevisions>
    </reviewItem>
    <reviewItem>
      <errorID>546f1b47-c1e9-4977-8c9b-331238e61b65</errorID>
      <errorWord>考虑到</errorWord>
      <group>L1_Word</group>
      <groupName>字词问题</groupName>
      <ability>L2_Typo</ability>
      <abilityName>字词错误</abilityName>
      <candidateList>
        <item>考虑</item>
      </candidateList>
      <explain/>
      <paraID>714530D8</paraID>
      <start>42</start>
      <end>45</end>
      <status>unmodified</status>
      <modifiedWord/>
      <trackRevisions>false</trackRevisions>
    </reviewItem>
    <reviewItem>
      <errorID>190600bf-226d-43b3-920e-39f767d0d439</errorID>
      <errorWord>编号号</errorWord>
      <group>L1_Word</group>
      <groupName>字词问题</groupName>
      <ability>L2_Typo</ability>
      <abilityName>字词错误</abilityName>
      <candidateList>
        <item>编号</item>
      </candidateList>
      <explain/>
      <paraID>287B24B1</paraID>
      <start>6</start>
      <end>9</end>
      <status>unmodified</status>
      <modifiedWord/>
      <trackRevisions>false</trackRevisions>
    </reviewItem>
    <reviewItem>
      <errorID>fa736b69-78f2-4c0d-8999-997431d43a09</errorID>
      <errorWord>，</errorWord>
      <group>L1_Word</group>
      <groupName>字词问题</groupName>
      <ability>L2_Typo</ability>
      <abilityName>字词错误</abilityName>
      <candidateList>
        <item>，自</item>
      </candidateList>
      <explain/>
      <paraID>2898C793</paraID>
      <start>8</start>
      <end>9</end>
      <status>unmodified</status>
      <modifiedWord/>
      <trackRevisions>false</trackRevisions>
    </reviewItem>
    <reviewItem>
      <errorID>3d6ebb9e-da85-4e7f-adee-2f7e03db5312</errorID>
      <errorWord>“</errorWord>
      <group>L1_Punc</group>
      <groupName>标点问题</groupName>
      <ability>L2_Punc</ability>
      <abilityName>标点符号检查</abilityName>
      <candidateList>
        <item>”</item>
      </candidateList>
      <explain>注意检查双引号的方向是否正确。</explain>
      <paraID>2AE5A571</paraID>
      <start>24</start>
      <end>25</end>
      <status>unmodified</status>
      <modifiedWord/>
      <trackRevisions>false</trackRevisions>
    </reviewItem>
    <reviewItem>
      <errorID>f620d2f7-35fe-443f-9a74-cc018f920222</errorID>
      <errorWord>平</errorWord>
      <group>L1_Word</group>
      <groupName>字词问题</groupName>
      <ability>L2_Typo</ability>
      <abilityName>字词错误</abilityName>
      <candidateList>
        <item>平方</item>
      </candidateList>
      <explain/>
      <paraID> CE39252</paraID>
      <start>7</start>
      <end>8</end>
      <status>unmodified</status>
      <modifiedWord/>
      <trackRevisions>false</trackRevisions>
    </reviewItem>
    <reviewItem>
      <errorID>da4b6b02-021a-4372-a259-5aaaf0851e50</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17C0432C</paraID>
      <start>98</start>
      <end>99</end>
      <status>unmodified</status>
      <modifiedWord/>
      <trackRevisions>false</trackRevisions>
    </reviewItem>
    <reviewItem>
      <errorID>1cbce85c-6a2e-4ff5-b95c-1253809dc061</errorID>
      <errorWord>期</errorWord>
      <group>L1_Word</group>
      <groupName>字词问题</groupName>
      <ability>L2_Typo</ability>
      <abilityName>字词错误</abilityName>
      <candidateList>
        <item>期为</item>
      </candidateList>
      <explain/>
      <paraID>29BF95BF</paraID>
      <start>37</start>
      <end>38</end>
      <status>unmodified</status>
      <modifiedWord/>
      <trackRevisions>false</trackRevisions>
    </reviewItem>
    <reviewItem>
      <errorID>26626e6b-820b-4c5c-b31b-cc9044e8d94e</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29BF95BF</paraID>
      <start>41</start>
      <end>43</end>
      <status>unmodified</status>
      <modifiedWord/>
      <trackRevisions>false</trackRevisions>
    </reviewItem>
    <reviewItem>
      <errorID>f7fda039-f657-470f-a898-ee39c2035b0e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46B0EDE9</paraID>
      <start>0</start>
      <end>2</end>
      <status>unmodified</status>
      <modifiedWord/>
      <trackRevisions>false</trackRevisions>
    </reviewItem>
    <reviewItem>
      <errorID>d1913d0b-f4f6-4d05-bb89-1a043c53c5f7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2F8FE8A1</paraID>
      <start>0</start>
      <end>2</end>
      <status>unmodified</status>
      <modifiedWord/>
      <trackRevisions>false</trackRevisions>
    </reviewItem>
    <reviewItem>
      <errorID>994576fc-2e19-4161-af75-e4a4aab898fc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7A4DFF11</paraID>
      <start>0</start>
      <end>2</end>
      <status>unmodified</status>
      <modifiedWord/>
      <trackRevisions>false</trackRevisions>
    </reviewItem>
    <reviewItem>
      <errorID>2a8e4209-314f-4069-aa67-55eeb126136d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1C43EC20</paraID>
      <start>0</start>
      <end>2</end>
      <status>unmodified</status>
      <modifiedWord/>
      <trackRevisions>false</trackRevisions>
    </reviewItem>
    <reviewItem>
      <errorID>9cf925a6-3a2c-4604-9f9c-a428154d9e1b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60C65E93</paraID>
      <start>0</start>
      <end>2</end>
      <status>unmodified</status>
      <modifiedWord/>
      <trackRevisions>false</trackRevisions>
    </reviewItem>
    <reviewItem>
      <errorID>dff36de3-d195-465b-8521-b40b085c2666</errorID>
      <errorWord>订有</errorWord>
      <group>L1_Word</group>
      <groupName>字词问题</groupName>
      <ability>L2_Typo</ability>
      <abilityName>字词错误</abilityName>
      <candidateList>
        <item>贴有</item>
      </candidateList>
      <explain/>
      <paraID>60C65E93</paraID>
      <start>9</start>
      <end>11</end>
      <status>unmodified</status>
      <modifiedWord/>
      <trackRevisions>false</trackRevisions>
    </reviewItem>
    <reviewItem>
      <errorID>b7434dae-eabd-45c9-8c60-abdd14018f7c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4E75B687</paraID>
      <start>0</start>
      <end>2</end>
      <status>unmodified</status>
      <modifiedWord/>
      <trackRevisions>false</trackRevisions>
    </reviewItem>
    <reviewItem>
      <errorID>05bf9c34-ff50-43ab-a559-5fa9e9505e00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1CF9AB78</paraID>
      <start>0</start>
      <end>2</end>
      <status>unmodified</status>
      <modifiedWord/>
      <trackRevisions>false</trackRevisions>
    </reviewItem>
    <reviewItem>
      <errorID>665b3a00-8e68-4e7b-9cc3-1b5810499b50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772778A2</paraID>
      <start>0</start>
      <end>2</end>
      <status>unmodified</status>
      <modifiedWord/>
      <trackRevisions>false</trackRevisions>
    </reviewItem>
    <reviewItem>
      <errorID>9c9e7206-6255-4324-a52d-c5f55364a68e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5E677E8A</paraID>
      <start>0</start>
      <end>2</end>
      <status>unmodified</status>
      <modifiedWord/>
      <trackRevisions>false</trackRevisions>
    </reviewItem>
    <reviewItem>
      <errorID>7bd31f54-ca81-4df2-8ab8-f0f06d672765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38A0435B</paraID>
      <start>0</start>
      <end>2</end>
      <status>unmodified</status>
      <modifiedWord/>
      <trackRevisions>false</trackRevisions>
    </reviewItem>
    <reviewItem>
      <errorID>c42a86e8-3732-49f1-99e2-8a1aa79a2284</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38A0435B</paraID>
      <start>33</start>
      <end>35</end>
      <status>unmodified</status>
      <modifiedWord/>
      <trackRevisions>false</trackRevisions>
    </reviewItem>
    <reviewItem>
      <errorID>0c12eded-6156-4168-af44-346d9ec6a4ab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32C83F16</paraID>
      <start>0</start>
      <end>2</end>
      <status>unmodified</status>
      <modifiedWord/>
      <trackRevisions>false</trackRevisions>
    </reviewItem>
    <reviewItem>
      <errorID>a3a43f7a-eff9-4092-a233-7709a6909f64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18407A05</paraID>
      <start>0</start>
      <end>2</end>
      <status>unmodified</status>
      <modifiedWord/>
      <trackRevisions>false</trackRevisions>
    </reviewItem>
    <reviewItem>
      <errorID>5d753fcf-088b-4b0a-ac05-cfad3c52fe90</errorID>
      <errorWord>甲方人</errorWord>
      <group>L1_Word</group>
      <groupName>字词问题</groupName>
      <ability>L2_Typo</ability>
      <abilityName>字词错误</abilityName>
      <candidateList>
        <item>甲方</item>
      </candidateList>
      <explain/>
      <paraID>18407A05</paraID>
      <start>19</start>
      <end>22</end>
      <status>unmodified</status>
      <modifiedWord/>
      <trackRevisions>false</trackRevisions>
    </reviewItem>
    <reviewItem>
      <errorID>c185c47c-e63c-423f-8106-87e18f3a5448</errorID>
      <errorWord>之间</errorWord>
      <group>L1_Word</group>
      <groupName>字词问题</groupName>
      <ability>L2_Typo</ability>
      <abilityName>字词错误</abilityName>
      <candidateList>
        <item>直接</item>
      </candidateList>
      <explain>〈形〉不经过中间事物的（跟“间接”相对）：～关系｜～领导｜～阅读外文书籍。</explain>
      <paraID>18407A05</paraID>
      <start>55</start>
      <end>57</end>
      <status>unmodified</status>
      <modifiedWord/>
      <trackRevisions>false</trackRevisions>
    </reviewItem>
    <reviewItem>
      <errorID>46cebaf0-de95-495e-88f7-08e72660c1e7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503931FD</paraID>
      <start>0</start>
      <end>2</end>
      <status>unmodified</status>
      <modifiedWord/>
      <trackRevisions>false</trackRevisions>
    </reviewItem>
    <reviewItem>
      <errorID>16621f0a-6ff5-4f1b-8d3e-cf41c03d9dcc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27076E9D</paraID>
      <start>0</start>
      <end>2</end>
      <status>unmodified</status>
      <modifiedWord/>
      <trackRevisions>false</trackRevisions>
    </reviewItem>
    <reviewItem>
      <errorID>536c5e3c-2744-427e-8d5f-da7bd6cf9c08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31AC60B8</paraID>
      <start>0</start>
      <end>2</end>
      <status>unmodified</status>
      <modifiedWord/>
      <trackRevisions>false</trackRevisions>
    </reviewItem>
    <reviewItem>
      <errorID>9785847f-5d79-4dd2-ba25-97ec32ebfd0b</errorID>
      <errorWord>十一：</errorWord>
      <group>L1_Format</group>
      <groupName>格式问题</groupName>
      <ability>L2_Ordinal</ability>
      <abilityName>序号格式</abilityName>
      <candidateList>
        <item>十一、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3066F44D</paraID>
      <start>0</start>
      <end>3</end>
      <status>unmodified</status>
      <modifiedWord/>
      <trackRevisions>false</trackRevisions>
    </reviewItem>
    <reviewItem>
      <errorID>571bd845-a496-444f-abf0-cd1f8db1228e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3ECAE37A</paraID>
      <start>0</start>
      <end>2</end>
      <status>unmodified</status>
      <modifiedWord/>
      <trackRevisions>false</trackRevisions>
    </reviewItem>
    <reviewItem>
      <errorID>c08c0c4c-98cf-4f03-a7ba-39b9ab906897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45B3907B</paraID>
      <start>0</start>
      <end>2</end>
      <status>unmodified</status>
      <modifiedWord/>
      <trackRevisions>false</trackRevisions>
    </reviewItem>
    <reviewItem>
      <errorID>710d80af-f359-46e7-ae49-7a61c4bf4a80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5EF8402E</paraID>
      <start>0</start>
      <end>2</end>
      <status>unmodified</status>
      <modifiedWord/>
      <trackRevisions>false</trackRevisions>
    </reviewItem>
    <reviewItem>
      <errorID>10da98b9-e300-4d9a-b1e8-9d85f746a57d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6F55CC1</paraID>
      <start>0</start>
      <end>2</end>
      <status>unmodified</status>
      <modifiedWord/>
      <trackRevisions>false</trackRevisions>
    </reviewItem>
    <reviewItem>
      <errorID>e1c2c960-c230-4ce4-9713-da751b8ca55d</errorID>
      <errorWord>十二：</errorWord>
      <group>L1_Format</group>
      <groupName>格式问题</groupName>
      <ability>L2_Ordinal</ability>
      <abilityName>序号格式</abilityName>
      <candidateList>
        <item>十二、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70EEE3C8</paraID>
      <start>0</start>
      <end>3</end>
      <status>unmodified</status>
      <modifiedWord/>
      <trackRevisions>false</trackRevisions>
    </reviewItem>
    <reviewItem>
      <errorID>bf2cde98-bbdf-4f5c-82b1-8ae3bfc1ab20</errorID>
      <errorWord>签签</errorWord>
      <group>L1_Word</group>
      <groupName>字词问题</groupName>
      <ability>L2_Typo</ability>
      <abilityName>字词错误</abilityName>
      <candidateList>
        <item>签</item>
      </candidateList>
      <explain/>
      <paraID>70EEE3C8</paraID>
      <start>7</start>
      <end>8</end>
      <status>modified</status>
      <modifiedWord>签</modifiedWord>
      <trackRevisions>false</trackRevisions>
    </reviewItem>
    <reviewItem>
      <errorID>6d4e0abf-345b-4f61-9b76-9118c07facd4</errorID>
      <errorWord>帐号</errorWord>
      <group>L1_Word</group>
      <groupName>字词问题</groupName>
      <ability>L2_Typo</ability>
      <abilityName>字词错误</abilityName>
      <candidateList>
        <item>账号</item>
      </candidateList>
      <explain>〈名〉单位或个人跟银行建立经济关系后，银行在账上给该单位或个人编的号码。</explain>
      <paraID>35646108</paraID>
      <start>0</start>
      <end>2</end>
      <status>modified</status>
      <modifiedWord>账号</modifiedWord>
      <trackRevisions>false</trackRevisions>
    </reviewItem>
    <reviewItem>
      <errorID>c65a8ead-7d11-4172-960d-b88c476f3978</errorID>
      <errorWord>帐号</errorWord>
      <group>L1_Word</group>
      <groupName>字词问题</groupName>
      <ability>L2_Typo</ability>
      <abilityName>字词错误</abilityName>
      <candidateList>
        <item>账号</item>
      </candidateList>
      <explain>〈名〉单位或个人跟银行建立经济关系后，银行在账上给该单位或个人编的号码。</explain>
      <paraID>5B3699B4</paraID>
      <start>0</start>
      <end>2</end>
      <status>modified</status>
      <modifiedWord>账号</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69f2f9-ab4c-4a5d-a220-521f2a6dd4f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102</Pages>
  <Words>19061</Words>
  <Characters>20481</Characters>
  <Lines>1</Lines>
  <Paragraphs>1</Paragraphs>
  <TotalTime>213</TotalTime>
  <ScaleCrop>false</ScaleCrop>
  <LinksUpToDate>false</LinksUpToDate>
  <CharactersWithSpaces>20598</CharactersWithSpaces>
  <Application>WPS Office_11.1.0.8919_F1E327BC-269C-435d-A152-05C5408002CA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2019-04-28T07:53:00Z</dcterms:created>
  <dc:creator>User</dc:creator>
  <cp:lastModifiedBy>Administrator</cp:lastModifiedBy>
  <cp:lastPrinted>2025-04-08T00:30:00Z</cp:lastPrinted>
  <dcterms:modified xsi:type="dcterms:W3CDTF">2026-05-22T07:09:06Z</dcterms:modified>
  <dc:title>威海市政府采购          招 标 文 件                  采购编号：WHGP2007-052               采购项目：安全生产综合监管与应急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2052-11.1.0.8919</vt:lpwstr>
  </property>
  <property fmtid="{D5CDD505-2E9C-101B-9397-08002B2CF9AE}" pid="3" name="ICV">
    <vt:lpwstr>B045E9D293BC4FE1977BD67ADB034212_13</vt:lpwstr>
  </property>
  <property fmtid="{D5CDD505-2E9C-101B-9397-08002B2CF9AE}" pid="4" name="commondata">
    <vt:lpwstr>eyJoZGlkIjoiMDMzYmU5YmQ3YmRhOThlN2JlOGU0OTA5YWY5NzJiNzYifQ==</vt:lpwstr>
  </property>
  <property fmtid="{D5CDD505-2E9C-101B-9397-08002B2CF9AE}" pid="5" name="KSOTemplateDocerSaveRecord">
    <vt:lpwstr>eyJoZGlkIjoiZWYyMjYzZWNkMTdjMWJiZDkwMTI3MDFkMTdlMTg5NmMiLCJ1c2VySWQiOiI2NDU0OTA1MzMifQ==</vt:lpwstr>
  </property>
</Properties>
</file>